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2E" w:rsidRPr="00132740" w:rsidRDefault="000A242E" w:rsidP="000A242E">
      <w:pPr>
        <w:pStyle w:val="BodyText"/>
        <w:tabs>
          <w:tab w:val="left" w:pos="1080"/>
        </w:tabs>
        <w:spacing w:before="120" w:after="0"/>
        <w:ind w:left="1134"/>
        <w:rPr>
          <w:rFonts w:ascii="Arial" w:hAnsi="Arial" w:cs="Arial"/>
          <w:sz w:val="22"/>
          <w:szCs w:val="22"/>
        </w:rPr>
      </w:pPr>
    </w:p>
    <w:p w:rsidR="000A242E" w:rsidRDefault="000A242E" w:rsidP="000A242E">
      <w:pPr>
        <w:pStyle w:val="BodyText"/>
        <w:tabs>
          <w:tab w:val="left" w:pos="1080"/>
        </w:tabs>
        <w:spacing w:after="0"/>
        <w:ind w:left="539" w:hanging="539"/>
        <w:rPr>
          <w:rFonts w:ascii="Arial" w:hAnsi="Arial" w:cs="Arial"/>
          <w:sz w:val="22"/>
          <w:szCs w:val="22"/>
        </w:rPr>
      </w:pPr>
    </w:p>
    <w:p w:rsidR="000A242E" w:rsidRDefault="000A242E" w:rsidP="000A242E">
      <w:pPr>
        <w:pStyle w:val="BodyText"/>
        <w:tabs>
          <w:tab w:val="left" w:pos="1080"/>
        </w:tabs>
        <w:spacing w:before="120" w:after="0"/>
        <w:ind w:left="539" w:hanging="539"/>
        <w:rPr>
          <w:rFonts w:ascii="Arial" w:hAnsi="Arial" w:cs="Arial"/>
          <w:b/>
          <w:sz w:val="22"/>
          <w:szCs w:val="22"/>
        </w:rPr>
      </w:pPr>
    </w:p>
    <w:p w:rsidR="000A242E" w:rsidRDefault="000A242E" w:rsidP="000A242E">
      <w:pPr>
        <w:pStyle w:val="BodyText"/>
        <w:tabs>
          <w:tab w:val="left" w:pos="1080"/>
        </w:tabs>
        <w:spacing w:before="120" w:after="0"/>
        <w:ind w:left="539" w:hanging="539"/>
        <w:rPr>
          <w:rFonts w:ascii="Arial" w:hAnsi="Arial" w:cs="Arial"/>
          <w:b/>
          <w:sz w:val="22"/>
          <w:szCs w:val="22"/>
        </w:rPr>
      </w:pPr>
    </w:p>
    <w:p w:rsidR="000A242E" w:rsidRDefault="000A242E" w:rsidP="000A242E">
      <w:pPr>
        <w:pStyle w:val="BodyText"/>
      </w:pPr>
    </w:p>
    <w:p w:rsidR="000A242E" w:rsidRDefault="000A242E" w:rsidP="000A242E">
      <w:pPr>
        <w:pStyle w:val="BodyText"/>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Default="000A242E" w:rsidP="000A242E">
      <w:pPr>
        <w:tabs>
          <w:tab w:val="left" w:pos="-1440"/>
          <w:tab w:val="left" w:pos="9000"/>
        </w:tabs>
        <w:suppressAutoHyphens/>
        <w:jc w:val="center"/>
        <w:rPr>
          <w:rFonts w:cs="Arial"/>
          <w:b/>
          <w:spacing w:val="60"/>
          <w:sz w:val="22"/>
          <w:szCs w:val="22"/>
        </w:rPr>
      </w:pPr>
    </w:p>
    <w:p w:rsidR="000A242E" w:rsidRPr="0013721A" w:rsidRDefault="000A242E" w:rsidP="000A242E">
      <w:pPr>
        <w:tabs>
          <w:tab w:val="left" w:pos="-1440"/>
          <w:tab w:val="left" w:pos="9000"/>
        </w:tabs>
        <w:suppressAutoHyphens/>
        <w:jc w:val="right"/>
        <w:rPr>
          <w:rFonts w:cs="Arial"/>
          <w:b/>
          <w:spacing w:val="60"/>
          <w:sz w:val="22"/>
          <w:szCs w:val="22"/>
        </w:rPr>
      </w:pPr>
      <w:r>
        <w:rPr>
          <w:rFonts w:cs="Arial"/>
          <w:noProof/>
          <w:lang w:eastAsia="zh-TW"/>
        </w:rPr>
        <w:drawing>
          <wp:anchor distT="0" distB="0" distL="114300" distR="114300" simplePos="0" relativeHeight="251659264" behindDoc="0" locked="0" layoutInCell="1" allowOverlap="1">
            <wp:simplePos x="5076825" y="952500"/>
            <wp:positionH relativeFrom="margin">
              <wp:align>right</wp:align>
            </wp:positionH>
            <wp:positionV relativeFrom="margin">
              <wp:align>top</wp:align>
            </wp:positionV>
            <wp:extent cx="1762125" cy="13347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34770"/>
                    </a:xfrm>
                    <a:prstGeom prst="rect">
                      <a:avLst/>
                    </a:prstGeom>
                    <a:noFill/>
                    <a:ln>
                      <a:noFill/>
                    </a:ln>
                  </pic:spPr>
                </pic:pic>
              </a:graphicData>
            </a:graphic>
          </wp:anchor>
        </w:drawing>
      </w:r>
    </w:p>
    <w:p w:rsidR="000A242E" w:rsidRPr="0013721A" w:rsidRDefault="000A242E" w:rsidP="000A242E">
      <w:pPr>
        <w:tabs>
          <w:tab w:val="left" w:pos="-1440"/>
          <w:tab w:val="left" w:pos="9000"/>
        </w:tabs>
        <w:suppressAutoHyphens/>
        <w:jc w:val="center"/>
        <w:rPr>
          <w:rFonts w:cs="Arial"/>
          <w:b/>
          <w:spacing w:val="60"/>
          <w:sz w:val="22"/>
          <w:szCs w:val="22"/>
        </w:rPr>
      </w:pPr>
    </w:p>
    <w:p w:rsidR="000A242E" w:rsidRPr="0013721A" w:rsidRDefault="000A242E" w:rsidP="000A242E">
      <w:pPr>
        <w:rPr>
          <w:rFonts w:cs="Arial"/>
          <w:b/>
          <w:spacing w:val="60"/>
          <w:sz w:val="22"/>
          <w:szCs w:val="22"/>
        </w:rPr>
      </w:pPr>
    </w:p>
    <w:p w:rsidR="000A242E" w:rsidRPr="0013721A" w:rsidRDefault="000A242E" w:rsidP="000A242E">
      <w:pPr>
        <w:rPr>
          <w:rFonts w:cs="Arial"/>
          <w:b/>
          <w:spacing w:val="60"/>
          <w:sz w:val="22"/>
          <w:szCs w:val="22"/>
        </w:rPr>
      </w:pPr>
    </w:p>
    <w:p w:rsidR="000A242E" w:rsidRPr="0013721A" w:rsidRDefault="000A242E" w:rsidP="000A242E">
      <w:pPr>
        <w:rPr>
          <w:rFonts w:cs="Arial"/>
          <w:b/>
          <w:spacing w:val="60"/>
          <w:sz w:val="22"/>
          <w:szCs w:val="22"/>
        </w:rPr>
      </w:pPr>
    </w:p>
    <w:p w:rsidR="000A242E" w:rsidRPr="0013721A" w:rsidRDefault="000A242E" w:rsidP="000A242E">
      <w:pPr>
        <w:rPr>
          <w:rFonts w:cs="Arial"/>
          <w:b/>
          <w:spacing w:val="60"/>
          <w:sz w:val="22"/>
          <w:szCs w:val="22"/>
        </w:rPr>
      </w:pPr>
    </w:p>
    <w:p w:rsidR="000A242E" w:rsidRDefault="000A242E" w:rsidP="000A242E">
      <w:pPr>
        <w:rPr>
          <w:rFonts w:cs="Arial"/>
          <w:b/>
          <w:sz w:val="40"/>
          <w:szCs w:val="40"/>
        </w:rPr>
      </w:pPr>
    </w:p>
    <w:p w:rsidR="000A242E" w:rsidRDefault="000A242E" w:rsidP="000A242E">
      <w:pPr>
        <w:rPr>
          <w:rFonts w:cs="Arial"/>
          <w:b/>
          <w:sz w:val="40"/>
          <w:szCs w:val="40"/>
        </w:rPr>
      </w:pPr>
    </w:p>
    <w:p w:rsidR="000A242E" w:rsidRDefault="000A242E" w:rsidP="000A242E">
      <w:pPr>
        <w:rPr>
          <w:rFonts w:cs="Arial"/>
          <w:b/>
          <w:sz w:val="40"/>
          <w:szCs w:val="40"/>
        </w:rPr>
      </w:pPr>
    </w:p>
    <w:p w:rsidR="000A242E" w:rsidRDefault="000A242E" w:rsidP="000A242E">
      <w:pPr>
        <w:pStyle w:val="BodyText"/>
        <w:spacing w:after="0"/>
        <w:rPr>
          <w:rFonts w:ascii="Arial" w:hAnsi="Arial" w:cs="Arial"/>
          <w:b/>
          <w:sz w:val="22"/>
          <w:szCs w:val="22"/>
        </w:rPr>
      </w:pPr>
    </w:p>
    <w:p w:rsidR="000A242E" w:rsidRDefault="000A242E" w:rsidP="000A242E">
      <w:pPr>
        <w:pStyle w:val="BodyText"/>
        <w:spacing w:after="0"/>
        <w:jc w:val="center"/>
        <w:rPr>
          <w:rFonts w:ascii="Arial" w:hAnsi="Arial" w:cs="Arial"/>
          <w:b/>
          <w:sz w:val="40"/>
          <w:szCs w:val="40"/>
        </w:rPr>
      </w:pPr>
      <w:r>
        <w:rPr>
          <w:rFonts w:ascii="Arial" w:hAnsi="Arial" w:cs="Arial"/>
          <w:b/>
          <w:sz w:val="40"/>
          <w:szCs w:val="40"/>
        </w:rPr>
        <w:t>JOINT INSOLVENCY EXAMINATION</w:t>
      </w:r>
    </w:p>
    <w:p w:rsidR="000A242E" w:rsidRDefault="000A242E" w:rsidP="000A242E">
      <w:pPr>
        <w:pStyle w:val="BodyText"/>
        <w:spacing w:after="0"/>
        <w:jc w:val="center"/>
        <w:rPr>
          <w:rFonts w:ascii="Arial" w:hAnsi="Arial" w:cs="Arial"/>
          <w:b/>
          <w:sz w:val="40"/>
          <w:szCs w:val="40"/>
        </w:rPr>
      </w:pPr>
    </w:p>
    <w:p w:rsidR="000A242E" w:rsidRDefault="00F85986" w:rsidP="000A242E">
      <w:pPr>
        <w:pStyle w:val="BodyText"/>
        <w:spacing w:after="0"/>
        <w:jc w:val="center"/>
        <w:rPr>
          <w:rFonts w:ascii="Arial" w:hAnsi="Arial" w:cs="Arial"/>
          <w:b/>
          <w:sz w:val="40"/>
          <w:szCs w:val="40"/>
        </w:rPr>
      </w:pPr>
      <w:r>
        <w:rPr>
          <w:rFonts w:ascii="Arial" w:hAnsi="Arial" w:cs="Arial"/>
          <w:b/>
          <w:sz w:val="40"/>
          <w:szCs w:val="40"/>
        </w:rPr>
        <w:t>2018</w:t>
      </w:r>
    </w:p>
    <w:p w:rsidR="000A242E" w:rsidRDefault="000A242E" w:rsidP="000A242E">
      <w:pPr>
        <w:pStyle w:val="BodyText"/>
        <w:spacing w:after="0"/>
        <w:jc w:val="center"/>
        <w:rPr>
          <w:rFonts w:ascii="Arial" w:hAnsi="Arial" w:cs="Arial"/>
          <w:b/>
          <w:sz w:val="40"/>
          <w:szCs w:val="40"/>
        </w:rPr>
      </w:pPr>
    </w:p>
    <w:p w:rsidR="000A242E" w:rsidRDefault="000A242E" w:rsidP="000A242E">
      <w:pPr>
        <w:pStyle w:val="BodyText"/>
        <w:spacing w:after="0"/>
        <w:jc w:val="center"/>
        <w:rPr>
          <w:rFonts w:ascii="Arial" w:hAnsi="Arial" w:cs="Arial"/>
          <w:b/>
          <w:sz w:val="40"/>
          <w:szCs w:val="40"/>
        </w:rPr>
      </w:pPr>
    </w:p>
    <w:p w:rsidR="000A242E" w:rsidRDefault="000A242E" w:rsidP="000A242E">
      <w:pPr>
        <w:pStyle w:val="BodyText"/>
        <w:spacing w:after="0"/>
        <w:jc w:val="center"/>
        <w:rPr>
          <w:rFonts w:ascii="Arial" w:hAnsi="Arial" w:cs="Arial"/>
          <w:b/>
          <w:sz w:val="40"/>
          <w:szCs w:val="40"/>
        </w:rPr>
      </w:pPr>
      <w:r w:rsidRPr="00A133D4">
        <w:rPr>
          <w:rFonts w:ascii="Arial" w:hAnsi="Arial" w:cs="Arial"/>
          <w:b/>
          <w:sz w:val="40"/>
          <w:szCs w:val="40"/>
        </w:rPr>
        <w:t>Syllabus for the Examination</w:t>
      </w:r>
    </w:p>
    <w:p w:rsidR="000A242E" w:rsidRDefault="000A242E" w:rsidP="000A242E">
      <w:pPr>
        <w:pStyle w:val="BodyText"/>
        <w:spacing w:after="0"/>
        <w:jc w:val="center"/>
        <w:rPr>
          <w:rFonts w:ascii="Arial" w:hAnsi="Arial" w:cs="Arial"/>
          <w:b/>
          <w:sz w:val="40"/>
          <w:szCs w:val="40"/>
        </w:rPr>
      </w:pPr>
    </w:p>
    <w:p w:rsidR="00F85986" w:rsidRPr="00B447E5" w:rsidRDefault="000A242E" w:rsidP="00F85986">
      <w:pPr>
        <w:pStyle w:val="BodyText"/>
        <w:spacing w:after="0"/>
        <w:jc w:val="center"/>
        <w:rPr>
          <w:b/>
          <w:sz w:val="22"/>
          <w:szCs w:val="22"/>
        </w:rPr>
      </w:pPr>
      <w:r>
        <w:rPr>
          <w:rFonts w:ascii="Arial" w:hAnsi="Arial" w:cs="Arial"/>
          <w:b/>
          <w:sz w:val="40"/>
          <w:szCs w:val="40"/>
        </w:rPr>
        <w:br w:type="page"/>
      </w:r>
      <w:r w:rsidR="00F85986" w:rsidRPr="00B447E5">
        <w:rPr>
          <w:b/>
          <w:sz w:val="22"/>
          <w:szCs w:val="22"/>
        </w:rPr>
        <w:lastRenderedPageBreak/>
        <w:t xml:space="preserve"> </w:t>
      </w:r>
    </w:p>
    <w:p w:rsidR="002B73A7" w:rsidRPr="00B447E5" w:rsidRDefault="002B73A7" w:rsidP="002B73A7">
      <w:pPr>
        <w:pStyle w:val="Bodycopy"/>
        <w:spacing w:before="0"/>
        <w:ind w:left="0"/>
        <w:jc w:val="center"/>
        <w:rPr>
          <w:b/>
          <w:sz w:val="22"/>
          <w:szCs w:val="22"/>
        </w:rPr>
      </w:pPr>
      <w:r w:rsidRPr="00B447E5">
        <w:rPr>
          <w:b/>
          <w:sz w:val="22"/>
          <w:szCs w:val="22"/>
        </w:rPr>
        <w:t>SYLLABUS</w:t>
      </w:r>
    </w:p>
    <w:p w:rsidR="002B73A7" w:rsidRPr="00191A03" w:rsidRDefault="002B73A7" w:rsidP="002B73A7">
      <w:pPr>
        <w:pStyle w:val="Bodycopy"/>
        <w:spacing w:before="0"/>
        <w:ind w:left="0"/>
        <w:jc w:val="center"/>
        <w:rPr>
          <w:b/>
        </w:rPr>
      </w:pPr>
    </w:p>
    <w:p w:rsidR="00C042B9" w:rsidRPr="008F08B1" w:rsidRDefault="006D0FBB" w:rsidP="008F08B1">
      <w:pPr>
        <w:pStyle w:val="Bodycopy"/>
        <w:spacing w:before="120" w:line="240" w:lineRule="auto"/>
        <w:ind w:left="0"/>
        <w:rPr>
          <w:b/>
          <w:bCs/>
          <w:sz w:val="22"/>
          <w:szCs w:val="22"/>
        </w:rPr>
      </w:pPr>
      <w:r>
        <w:rPr>
          <w:b/>
          <w:bCs/>
          <w:sz w:val="22"/>
          <w:szCs w:val="22"/>
        </w:rPr>
        <w:t xml:space="preserve">A. </w:t>
      </w:r>
      <w:r w:rsidR="008F08B1" w:rsidRPr="008F08B1">
        <w:rPr>
          <w:b/>
          <w:bCs/>
          <w:sz w:val="22"/>
          <w:szCs w:val="22"/>
        </w:rPr>
        <w:t>I</w:t>
      </w:r>
      <w:r w:rsidR="003829AA">
        <w:rPr>
          <w:b/>
          <w:bCs/>
          <w:sz w:val="22"/>
          <w:szCs w:val="22"/>
        </w:rPr>
        <w:t>NTRODUCTION</w:t>
      </w:r>
    </w:p>
    <w:p w:rsidR="008F08B1" w:rsidRDefault="008F08B1" w:rsidP="008F08B1">
      <w:pPr>
        <w:pStyle w:val="Bodycopy"/>
        <w:spacing w:before="120" w:line="240" w:lineRule="auto"/>
        <w:ind w:left="0"/>
        <w:rPr>
          <w:sz w:val="22"/>
          <w:szCs w:val="22"/>
        </w:rPr>
      </w:pPr>
      <w:r w:rsidRPr="00B16357">
        <w:rPr>
          <w:sz w:val="22"/>
          <w:szCs w:val="22"/>
        </w:rPr>
        <w:t>Candidates must be able to demonstrate a thorough w</w:t>
      </w:r>
      <w:r>
        <w:rPr>
          <w:sz w:val="22"/>
          <w:szCs w:val="22"/>
        </w:rPr>
        <w:t>orking knowledge of relevant law</w:t>
      </w:r>
      <w:r w:rsidRPr="00B16357">
        <w:rPr>
          <w:sz w:val="22"/>
          <w:szCs w:val="22"/>
        </w:rPr>
        <w:t xml:space="preserve"> and guidance</w:t>
      </w:r>
      <w:r>
        <w:rPr>
          <w:sz w:val="22"/>
          <w:szCs w:val="22"/>
        </w:rPr>
        <w:t xml:space="preserve"> </w:t>
      </w:r>
      <w:r w:rsidRPr="00B16357">
        <w:rPr>
          <w:sz w:val="22"/>
          <w:szCs w:val="22"/>
        </w:rPr>
        <w:t>as described in this syllabus, sufficient to enable them to carry out the functions of an authorised insolvency practitioner</w:t>
      </w:r>
      <w:r>
        <w:rPr>
          <w:sz w:val="22"/>
          <w:szCs w:val="22"/>
        </w:rPr>
        <w:t xml:space="preserve">. </w:t>
      </w:r>
    </w:p>
    <w:p w:rsidR="008F08B1" w:rsidRDefault="008F08B1" w:rsidP="008F08B1">
      <w:pPr>
        <w:pStyle w:val="Bodycopy"/>
        <w:spacing w:before="120" w:line="240" w:lineRule="auto"/>
        <w:ind w:left="0"/>
        <w:rPr>
          <w:sz w:val="22"/>
          <w:szCs w:val="22"/>
        </w:rPr>
      </w:pPr>
      <w:r w:rsidRPr="00B16357">
        <w:rPr>
          <w:sz w:val="22"/>
          <w:szCs w:val="22"/>
        </w:rPr>
        <w:t>Insolvency Practice includes</w:t>
      </w:r>
      <w:r>
        <w:rPr>
          <w:sz w:val="22"/>
          <w:szCs w:val="22"/>
        </w:rPr>
        <w:t xml:space="preserve"> both Personal Insolvency Practice and Corporate Insolvency Practice and, in each case, includes </w:t>
      </w:r>
      <w:r w:rsidRPr="00B16357">
        <w:rPr>
          <w:sz w:val="22"/>
          <w:szCs w:val="22"/>
        </w:rPr>
        <w:t>both non-formal and formal practice. Non-formal practice is defined as the provision of analysis and advice to stakeholders concerning an entity in financial difficulties</w:t>
      </w:r>
      <w:r>
        <w:rPr>
          <w:sz w:val="22"/>
          <w:szCs w:val="22"/>
        </w:rPr>
        <w:t xml:space="preserve">. </w:t>
      </w:r>
      <w:r w:rsidRPr="00B16357">
        <w:rPr>
          <w:sz w:val="22"/>
          <w:szCs w:val="22"/>
        </w:rPr>
        <w:t>Formal practice is defined as acting as office holder, from appointment through all the stages of the relevant insolvency procedure to release from office</w:t>
      </w:r>
      <w:r>
        <w:rPr>
          <w:sz w:val="22"/>
          <w:szCs w:val="22"/>
        </w:rPr>
        <w:t xml:space="preserve">. </w:t>
      </w:r>
    </w:p>
    <w:p w:rsidR="008F08B1" w:rsidRDefault="008F08B1" w:rsidP="008F08B1">
      <w:pPr>
        <w:pStyle w:val="Bodycopy"/>
        <w:spacing w:before="120" w:line="240" w:lineRule="auto"/>
        <w:ind w:left="0"/>
        <w:rPr>
          <w:rFonts w:cs="Arial"/>
          <w:sz w:val="22"/>
          <w:szCs w:val="22"/>
        </w:rPr>
      </w:pPr>
      <w:r w:rsidRPr="00B16357">
        <w:rPr>
          <w:sz w:val="22"/>
          <w:szCs w:val="22"/>
        </w:rPr>
        <w:t xml:space="preserve">The jurisdictions for the purposes of this syllabus are </w:t>
      </w:r>
      <w:r w:rsidR="000F632B">
        <w:rPr>
          <w:sz w:val="22"/>
          <w:szCs w:val="22"/>
        </w:rPr>
        <w:t xml:space="preserve">(1) </w:t>
      </w:r>
      <w:r w:rsidRPr="00B16357">
        <w:rPr>
          <w:sz w:val="22"/>
          <w:szCs w:val="22"/>
        </w:rPr>
        <w:t xml:space="preserve">England and Wales and </w:t>
      </w:r>
      <w:r w:rsidR="000F632B">
        <w:rPr>
          <w:sz w:val="22"/>
          <w:szCs w:val="22"/>
        </w:rPr>
        <w:t xml:space="preserve">(2) </w:t>
      </w:r>
      <w:r w:rsidRPr="00B16357">
        <w:rPr>
          <w:sz w:val="22"/>
          <w:szCs w:val="22"/>
        </w:rPr>
        <w:t xml:space="preserve">Scotland. The offices and procedures described in this syllabus relate to both jurisdictions </w:t>
      </w:r>
      <w:r w:rsidRPr="002B73A7">
        <w:rPr>
          <w:rFonts w:cs="Arial"/>
          <w:sz w:val="22"/>
          <w:szCs w:val="22"/>
        </w:rPr>
        <w:t>except to the extent that legislation applies differently between them. The relevant offices</w:t>
      </w:r>
      <w:r>
        <w:rPr>
          <w:rFonts w:cs="Arial"/>
          <w:sz w:val="22"/>
          <w:szCs w:val="22"/>
        </w:rPr>
        <w:t xml:space="preserve"> </w:t>
      </w:r>
      <w:r w:rsidRPr="002B73A7">
        <w:rPr>
          <w:rFonts w:cs="Arial"/>
          <w:sz w:val="22"/>
          <w:szCs w:val="22"/>
        </w:rPr>
        <w:t>for the purposes of this syllabus are as follows: those descr</w:t>
      </w:r>
      <w:r w:rsidR="00B232C6">
        <w:rPr>
          <w:rFonts w:cs="Arial"/>
          <w:sz w:val="22"/>
          <w:szCs w:val="22"/>
        </w:rPr>
        <w:t>ibed in the Insolvency Act 1986</w:t>
      </w:r>
      <w:r w:rsidR="00D838FE">
        <w:rPr>
          <w:rFonts w:cs="Arial"/>
          <w:sz w:val="22"/>
          <w:szCs w:val="22"/>
        </w:rPr>
        <w:t xml:space="preserve">, </w:t>
      </w:r>
      <w:r w:rsidRPr="002B73A7">
        <w:rPr>
          <w:rFonts w:cs="Arial"/>
          <w:sz w:val="22"/>
          <w:szCs w:val="22"/>
        </w:rPr>
        <w:t>the Bankruptcy (Scotland) Act 1985</w:t>
      </w:r>
      <w:r w:rsidR="00D838FE">
        <w:rPr>
          <w:rFonts w:cs="Arial"/>
          <w:sz w:val="22"/>
          <w:szCs w:val="22"/>
        </w:rPr>
        <w:t xml:space="preserve"> and the Bankruptcy (Scotland) Act 2016</w:t>
      </w:r>
      <w:r w:rsidR="007B2EB6">
        <w:rPr>
          <w:rFonts w:cs="Arial"/>
          <w:sz w:val="22"/>
          <w:szCs w:val="22"/>
        </w:rPr>
        <w:t xml:space="preserve"> </w:t>
      </w:r>
      <w:r w:rsidRPr="002B73A7">
        <w:rPr>
          <w:rFonts w:cs="Arial"/>
          <w:sz w:val="22"/>
          <w:szCs w:val="22"/>
        </w:rPr>
        <w:t xml:space="preserve">; </w:t>
      </w:r>
      <w:r w:rsidRPr="00981F90">
        <w:rPr>
          <w:rFonts w:cs="Arial"/>
          <w:sz w:val="22"/>
          <w:szCs w:val="22"/>
        </w:rPr>
        <w:t xml:space="preserve">the </w:t>
      </w:r>
      <w:r w:rsidRPr="00981F90">
        <w:rPr>
          <w:rFonts w:eastAsiaTheme="minorHAnsi" w:cs="Arial"/>
          <w:sz w:val="22"/>
          <w:szCs w:val="46"/>
          <w:lang w:val="en-US"/>
        </w:rPr>
        <w:t>Debt Arrangement</w:t>
      </w:r>
      <w:r w:rsidRPr="00981F90">
        <w:rPr>
          <w:rFonts w:eastAsiaTheme="minorHAnsi" w:cs="Arial"/>
          <w:color w:val="3A3B3D"/>
          <w:sz w:val="22"/>
          <w:szCs w:val="46"/>
          <w:lang w:val="en-US"/>
        </w:rPr>
        <w:t xml:space="preserve"> and Attachment (Scotland) Act 2002</w:t>
      </w:r>
      <w:r>
        <w:rPr>
          <w:rFonts w:eastAsiaTheme="minorHAnsi" w:cs="Arial"/>
          <w:color w:val="3A3B3D"/>
          <w:sz w:val="22"/>
          <w:szCs w:val="46"/>
          <w:lang w:val="en-US"/>
        </w:rPr>
        <w:t xml:space="preserve">; </w:t>
      </w:r>
      <w:r w:rsidRPr="002B73A7">
        <w:rPr>
          <w:rFonts w:cs="Arial"/>
          <w:sz w:val="22"/>
          <w:szCs w:val="22"/>
        </w:rPr>
        <w:t>receiverships under the Law of Property Act 1925, the Agricultural Credits Act 1928 the Agricultural Credits (Scotland) Act 1929: court appointments; offices held by virtue of EU Insolvency Regulation</w:t>
      </w:r>
      <w:r w:rsidR="00CD0F1E">
        <w:rPr>
          <w:rFonts w:cs="Arial"/>
          <w:sz w:val="22"/>
          <w:szCs w:val="22"/>
        </w:rPr>
        <w:t>s 1346/2000 and</w:t>
      </w:r>
      <w:r w:rsidRPr="002B73A7">
        <w:rPr>
          <w:rFonts w:cs="Arial"/>
          <w:sz w:val="22"/>
          <w:szCs w:val="22"/>
        </w:rPr>
        <w:t xml:space="preserve"> </w:t>
      </w:r>
      <w:r w:rsidR="00FC02B5">
        <w:rPr>
          <w:rFonts w:cs="Arial"/>
          <w:sz w:val="22"/>
          <w:szCs w:val="22"/>
        </w:rPr>
        <w:t>2015/848</w:t>
      </w:r>
      <w:r w:rsidRPr="002B73A7">
        <w:rPr>
          <w:rFonts w:cs="Arial"/>
          <w:sz w:val="22"/>
          <w:szCs w:val="22"/>
        </w:rPr>
        <w:t>.</w:t>
      </w:r>
      <w:r>
        <w:rPr>
          <w:rFonts w:cs="Arial"/>
          <w:sz w:val="22"/>
          <w:szCs w:val="22"/>
        </w:rPr>
        <w:t xml:space="preserve"> </w:t>
      </w:r>
    </w:p>
    <w:p w:rsidR="00F82686" w:rsidRDefault="00F82686" w:rsidP="00F82686">
      <w:pPr>
        <w:ind w:left="993" w:hanging="993"/>
        <w:rPr>
          <w:rFonts w:cs="Arial"/>
          <w:sz w:val="22"/>
          <w:szCs w:val="19"/>
        </w:rPr>
      </w:pPr>
    </w:p>
    <w:p w:rsidR="008F08B1" w:rsidRDefault="008F08B1" w:rsidP="008F08B1">
      <w:pPr>
        <w:pStyle w:val="Bodycopy"/>
        <w:spacing w:before="0" w:line="240" w:lineRule="auto"/>
        <w:ind w:left="0"/>
        <w:rPr>
          <w:rFonts w:cs="Arial"/>
          <w:sz w:val="22"/>
          <w:szCs w:val="22"/>
        </w:rPr>
      </w:pPr>
      <w:r w:rsidRPr="002B73A7">
        <w:rPr>
          <w:rFonts w:cs="Arial"/>
          <w:sz w:val="22"/>
          <w:szCs w:val="22"/>
        </w:rPr>
        <w:t>Relevant law and guidance comprises the legislation referred to above, the Company Directors Disqualification Act 1986, the Insolvency</w:t>
      </w:r>
      <w:r w:rsidR="00FC02B5">
        <w:rPr>
          <w:rFonts w:cs="Arial"/>
          <w:sz w:val="22"/>
          <w:szCs w:val="22"/>
        </w:rPr>
        <w:t xml:space="preserve"> (England and Wales)</w:t>
      </w:r>
      <w:r w:rsidRPr="002B73A7">
        <w:rPr>
          <w:rFonts w:cs="Arial"/>
          <w:sz w:val="22"/>
          <w:szCs w:val="22"/>
        </w:rPr>
        <w:t xml:space="preserve"> Rules </w:t>
      </w:r>
      <w:r w:rsidR="00FC02B5">
        <w:rPr>
          <w:rFonts w:cs="Arial"/>
          <w:sz w:val="22"/>
          <w:szCs w:val="22"/>
        </w:rPr>
        <w:t>2016</w:t>
      </w:r>
      <w:r w:rsidRPr="002B73A7">
        <w:rPr>
          <w:rFonts w:cs="Arial"/>
          <w:sz w:val="22"/>
          <w:szCs w:val="22"/>
        </w:rPr>
        <w:t xml:space="preserve">, the Insolvency (Scotland) Rules 1986, all as from time to time amended, and any other primary legislation, secondary legislation, case law or other guidance that is relevant to </w:t>
      </w:r>
      <w:r>
        <w:rPr>
          <w:rFonts w:cs="Arial"/>
          <w:sz w:val="22"/>
          <w:szCs w:val="22"/>
        </w:rPr>
        <w:t>Insolvency Practice</w:t>
      </w:r>
      <w:r w:rsidRPr="002B73A7">
        <w:rPr>
          <w:rFonts w:cs="Arial"/>
          <w:sz w:val="22"/>
          <w:szCs w:val="22"/>
        </w:rPr>
        <w:t xml:space="preserve">. Examination questions will be based on the relevant law and guidance in force on 30 April for the year of the examination. Questions will not require </w:t>
      </w:r>
      <w:r>
        <w:rPr>
          <w:rFonts w:cs="Arial"/>
          <w:sz w:val="22"/>
          <w:szCs w:val="22"/>
        </w:rPr>
        <w:t xml:space="preserve">knowledge of </w:t>
      </w:r>
      <w:r w:rsidRPr="002B73A7">
        <w:rPr>
          <w:rFonts w:cs="Arial"/>
          <w:sz w:val="22"/>
          <w:szCs w:val="22"/>
        </w:rPr>
        <w:t>more recent case law, but demonstrating knowledge of any that is relevant may attract additional marks.</w:t>
      </w:r>
    </w:p>
    <w:p w:rsidR="008F08B1" w:rsidRDefault="008F08B1" w:rsidP="008F08B1">
      <w:pPr>
        <w:pStyle w:val="Bodycopy"/>
        <w:spacing w:before="0" w:line="240" w:lineRule="auto"/>
        <w:ind w:left="0"/>
        <w:rPr>
          <w:rFonts w:cs="Arial"/>
          <w:sz w:val="22"/>
          <w:szCs w:val="22"/>
        </w:rPr>
      </w:pPr>
    </w:p>
    <w:p w:rsidR="008F08B1" w:rsidRPr="009C285F" w:rsidRDefault="008F08B1" w:rsidP="008F08B1">
      <w:pPr>
        <w:pStyle w:val="Bodycopy"/>
        <w:spacing w:before="0" w:line="240" w:lineRule="auto"/>
        <w:ind w:left="0"/>
        <w:rPr>
          <w:rFonts w:cs="Arial"/>
          <w:sz w:val="22"/>
          <w:szCs w:val="22"/>
        </w:rPr>
      </w:pPr>
      <w:r w:rsidRPr="008A41EF">
        <w:rPr>
          <w:sz w:val="22"/>
        </w:rPr>
        <w:t xml:space="preserve">Candidates will be expected to demonstrate a basic knowledge of taxation, accountancy and business law directly relevant to the performance of an </w:t>
      </w:r>
      <w:r>
        <w:rPr>
          <w:sz w:val="22"/>
        </w:rPr>
        <w:t xml:space="preserve">insolvency </w:t>
      </w:r>
      <w:r w:rsidRPr="008A41EF">
        <w:rPr>
          <w:sz w:val="22"/>
        </w:rPr>
        <w:t>office holder’s duti</w:t>
      </w:r>
      <w:r>
        <w:rPr>
          <w:sz w:val="22"/>
        </w:rPr>
        <w:t>es</w:t>
      </w:r>
      <w:r w:rsidRPr="008A41EF">
        <w:rPr>
          <w:sz w:val="22"/>
        </w:rPr>
        <w:t>.</w:t>
      </w:r>
      <w:r w:rsidRPr="009C285F">
        <w:rPr>
          <w:rFonts w:cs="Arial"/>
          <w:sz w:val="22"/>
          <w:szCs w:val="22"/>
        </w:rPr>
        <w:t xml:space="preserve"> Candidates will need to be aware of industry licensing, environmental and other regulatory requirements, agency and other issues, and the civil and criminal risks arising from them, but will not need in-depth knowledge of industry-specific legislation. </w:t>
      </w:r>
    </w:p>
    <w:p w:rsidR="008F08B1" w:rsidRDefault="008F08B1" w:rsidP="008F08B1">
      <w:pPr>
        <w:pStyle w:val="Bodycopy"/>
        <w:spacing w:before="0" w:line="240" w:lineRule="auto"/>
        <w:ind w:left="0"/>
        <w:rPr>
          <w:rFonts w:ascii="Courier" w:hAnsi="Courier"/>
          <w:lang w:eastAsia="en-GB"/>
        </w:rPr>
      </w:pPr>
    </w:p>
    <w:p w:rsidR="008F08B1" w:rsidRDefault="008F08B1" w:rsidP="008F08B1">
      <w:pPr>
        <w:pStyle w:val="Bodycopy"/>
        <w:spacing w:before="0" w:line="240" w:lineRule="auto"/>
        <w:ind w:left="0"/>
        <w:rPr>
          <w:rFonts w:cs="Arial"/>
          <w:sz w:val="22"/>
          <w:szCs w:val="22"/>
        </w:rPr>
      </w:pPr>
      <w:r w:rsidRPr="002B73A7">
        <w:rPr>
          <w:rFonts w:cs="Arial"/>
          <w:sz w:val="22"/>
          <w:szCs w:val="22"/>
        </w:rPr>
        <w:t>Candidates will also need to demonstrate knowledge of cross-border insolvency issues (including foreign entities located in the respective jurisdictions) but not of the insolvency legislation in foreign regimes.</w:t>
      </w:r>
    </w:p>
    <w:p w:rsidR="008F08B1" w:rsidRDefault="008F08B1" w:rsidP="008F08B1">
      <w:pPr>
        <w:pStyle w:val="Bodycopy"/>
        <w:spacing w:before="0" w:line="240" w:lineRule="auto"/>
        <w:ind w:left="0"/>
        <w:rPr>
          <w:rFonts w:cs="Arial"/>
          <w:sz w:val="22"/>
          <w:szCs w:val="22"/>
        </w:rPr>
      </w:pPr>
      <w:r w:rsidRPr="002B73A7">
        <w:rPr>
          <w:rFonts w:cs="Arial"/>
          <w:sz w:val="22"/>
          <w:szCs w:val="22"/>
        </w:rPr>
        <w:t xml:space="preserve"> </w:t>
      </w:r>
    </w:p>
    <w:p w:rsidR="008F08B1" w:rsidRPr="008F08B1" w:rsidRDefault="006D0FBB" w:rsidP="008F08B1">
      <w:pPr>
        <w:pStyle w:val="Bodycopy"/>
        <w:spacing w:before="0" w:line="240" w:lineRule="auto"/>
        <w:ind w:left="0"/>
        <w:rPr>
          <w:rFonts w:cs="Arial"/>
          <w:b/>
          <w:bCs/>
          <w:sz w:val="22"/>
          <w:szCs w:val="22"/>
        </w:rPr>
      </w:pPr>
      <w:r>
        <w:rPr>
          <w:rFonts w:cs="Arial"/>
          <w:b/>
          <w:bCs/>
          <w:sz w:val="22"/>
          <w:szCs w:val="22"/>
        </w:rPr>
        <w:t xml:space="preserve">B. </w:t>
      </w:r>
      <w:r w:rsidR="008F08B1" w:rsidRPr="008F08B1">
        <w:rPr>
          <w:rFonts w:cs="Arial"/>
          <w:b/>
          <w:bCs/>
          <w:sz w:val="22"/>
          <w:szCs w:val="22"/>
        </w:rPr>
        <w:t>T</w:t>
      </w:r>
      <w:r w:rsidR="003829AA">
        <w:rPr>
          <w:rFonts w:cs="Arial"/>
          <w:b/>
          <w:bCs/>
          <w:sz w:val="22"/>
          <w:szCs w:val="22"/>
        </w:rPr>
        <w:t>HE PAPERS</w:t>
      </w:r>
    </w:p>
    <w:p w:rsidR="008F08B1" w:rsidRDefault="008F08B1" w:rsidP="008F08B1">
      <w:pPr>
        <w:pStyle w:val="Bodycopy"/>
        <w:spacing w:before="0" w:line="240" w:lineRule="auto"/>
        <w:ind w:left="0"/>
        <w:rPr>
          <w:rFonts w:cs="Arial"/>
          <w:sz w:val="22"/>
          <w:szCs w:val="22"/>
        </w:rPr>
      </w:pPr>
    </w:p>
    <w:p w:rsidR="008F08B1" w:rsidRDefault="008F08B1" w:rsidP="00F82686">
      <w:pPr>
        <w:pStyle w:val="Bodycopy"/>
        <w:spacing w:before="0" w:line="240" w:lineRule="auto"/>
        <w:ind w:left="0"/>
        <w:rPr>
          <w:rFonts w:cs="Arial"/>
          <w:sz w:val="22"/>
          <w:szCs w:val="22"/>
        </w:rPr>
      </w:pPr>
      <w:r w:rsidRPr="002B73A7">
        <w:rPr>
          <w:rFonts w:cs="Arial"/>
          <w:sz w:val="22"/>
          <w:szCs w:val="22"/>
        </w:rPr>
        <w:t xml:space="preserve">Candidates will be assessed by means of </w:t>
      </w:r>
      <w:r w:rsidR="00F82686">
        <w:rPr>
          <w:rFonts w:cs="Arial"/>
          <w:sz w:val="22"/>
          <w:szCs w:val="22"/>
        </w:rPr>
        <w:t>two</w:t>
      </w:r>
      <w:r w:rsidRPr="002B73A7">
        <w:rPr>
          <w:rFonts w:cs="Arial"/>
          <w:sz w:val="22"/>
          <w:szCs w:val="22"/>
        </w:rPr>
        <w:t xml:space="preserve"> separate papers, </w:t>
      </w:r>
      <w:r w:rsidR="00CD0F1E">
        <w:rPr>
          <w:rFonts w:cs="Arial"/>
          <w:sz w:val="22"/>
          <w:szCs w:val="22"/>
        </w:rPr>
        <w:t>both</w:t>
      </w:r>
      <w:r w:rsidRPr="002B73A7">
        <w:rPr>
          <w:rFonts w:cs="Arial"/>
          <w:sz w:val="22"/>
          <w:szCs w:val="22"/>
        </w:rPr>
        <w:t xml:space="preserve"> of which may include questions relating both to non-formal and formal practice although the emphasis will be on the latter. </w:t>
      </w:r>
    </w:p>
    <w:p w:rsidR="008F08B1" w:rsidRDefault="008F08B1" w:rsidP="008F08B1">
      <w:pPr>
        <w:pStyle w:val="Bodycopy"/>
        <w:spacing w:before="0" w:line="240" w:lineRule="auto"/>
        <w:ind w:left="0"/>
        <w:rPr>
          <w:rFonts w:cs="Arial"/>
          <w:sz w:val="22"/>
          <w:szCs w:val="22"/>
        </w:rPr>
      </w:pPr>
    </w:p>
    <w:p w:rsidR="008F08B1" w:rsidRPr="002B73A7" w:rsidRDefault="008F08B1" w:rsidP="008F08B1">
      <w:pPr>
        <w:pStyle w:val="Bodycopy"/>
        <w:spacing w:before="0" w:line="240" w:lineRule="auto"/>
        <w:ind w:left="0"/>
        <w:rPr>
          <w:rFonts w:cs="Arial"/>
          <w:sz w:val="22"/>
          <w:szCs w:val="22"/>
        </w:rPr>
      </w:pPr>
      <w:r>
        <w:rPr>
          <w:rFonts w:cs="Arial"/>
          <w:sz w:val="22"/>
          <w:szCs w:val="22"/>
        </w:rPr>
        <w:t>T</w:t>
      </w:r>
      <w:r w:rsidRPr="002B73A7">
        <w:rPr>
          <w:rFonts w:cs="Arial"/>
          <w:sz w:val="22"/>
          <w:szCs w:val="22"/>
        </w:rPr>
        <w:t>he t</w:t>
      </w:r>
      <w:r w:rsidR="00CD0F1E">
        <w:rPr>
          <w:rFonts w:cs="Arial"/>
          <w:sz w:val="22"/>
          <w:szCs w:val="22"/>
        </w:rPr>
        <w:t>wo</w:t>
      </w:r>
      <w:r w:rsidRPr="002B73A7">
        <w:rPr>
          <w:rFonts w:cs="Arial"/>
          <w:sz w:val="22"/>
          <w:szCs w:val="22"/>
        </w:rPr>
        <w:t xml:space="preserve"> papers are </w:t>
      </w:r>
      <w:r>
        <w:rPr>
          <w:rFonts w:cs="Arial"/>
          <w:sz w:val="22"/>
          <w:szCs w:val="22"/>
        </w:rPr>
        <w:t xml:space="preserve">primarily </w:t>
      </w:r>
      <w:r w:rsidRPr="002B73A7">
        <w:rPr>
          <w:rFonts w:cs="Arial"/>
          <w:sz w:val="22"/>
          <w:szCs w:val="22"/>
        </w:rPr>
        <w:t>distinguished by the different types of entity and the different formal insolvency procedures to which they relate.</w:t>
      </w:r>
      <w:r>
        <w:rPr>
          <w:rFonts w:cs="Arial"/>
          <w:sz w:val="22"/>
          <w:szCs w:val="22"/>
        </w:rPr>
        <w:t xml:space="preserve">  This will be reflected in the questions set and the substantial majority of the marks in each paper will be allocated to questions directly relevant to the subject matter of the paper concerned, as set out in paragraphs </w:t>
      </w:r>
      <w:r w:rsidR="003829AA">
        <w:rPr>
          <w:rFonts w:cs="Arial"/>
          <w:sz w:val="22"/>
          <w:szCs w:val="22"/>
        </w:rPr>
        <w:t>(i)</w:t>
      </w:r>
      <w:r>
        <w:rPr>
          <w:rFonts w:cs="Arial"/>
          <w:sz w:val="22"/>
          <w:szCs w:val="22"/>
        </w:rPr>
        <w:t xml:space="preserve"> </w:t>
      </w:r>
      <w:r w:rsidR="003829AA">
        <w:rPr>
          <w:rFonts w:cs="Arial"/>
          <w:sz w:val="22"/>
          <w:szCs w:val="22"/>
        </w:rPr>
        <w:t>and (ii)</w:t>
      </w:r>
      <w:r>
        <w:rPr>
          <w:rFonts w:cs="Arial"/>
          <w:sz w:val="22"/>
          <w:szCs w:val="22"/>
        </w:rPr>
        <w:t xml:space="preserve"> below. However, candidates may also be asked to answer questions on or to make points about non - formal and/or formal practice relating to one or more subject matters </w:t>
      </w:r>
      <w:r>
        <w:rPr>
          <w:rFonts w:cs="Arial"/>
          <w:sz w:val="22"/>
          <w:szCs w:val="22"/>
        </w:rPr>
        <w:lastRenderedPageBreak/>
        <w:t xml:space="preserve">more normally examined in </w:t>
      </w:r>
      <w:r w:rsidR="00EE041D">
        <w:rPr>
          <w:rFonts w:cs="Arial"/>
          <w:sz w:val="22"/>
          <w:szCs w:val="22"/>
        </w:rPr>
        <w:t>the other</w:t>
      </w:r>
      <w:r>
        <w:rPr>
          <w:rFonts w:cs="Arial"/>
          <w:sz w:val="22"/>
          <w:szCs w:val="22"/>
        </w:rPr>
        <w:t xml:space="preserve"> paper. This is explained further in paragraph </w:t>
      </w:r>
      <w:r w:rsidR="003829AA">
        <w:rPr>
          <w:rFonts w:cs="Arial"/>
          <w:sz w:val="22"/>
          <w:szCs w:val="22"/>
        </w:rPr>
        <w:t>(iii)</w:t>
      </w:r>
      <w:r>
        <w:rPr>
          <w:rFonts w:cs="Arial"/>
          <w:sz w:val="22"/>
          <w:szCs w:val="22"/>
        </w:rPr>
        <w:t xml:space="preserve"> below.  </w:t>
      </w:r>
    </w:p>
    <w:p w:rsidR="008F08B1" w:rsidRDefault="008F08B1" w:rsidP="008F08B1">
      <w:pPr>
        <w:pStyle w:val="Bodycopy"/>
        <w:spacing w:before="0" w:line="240" w:lineRule="auto"/>
        <w:ind w:left="0"/>
        <w:rPr>
          <w:rFonts w:cs="Arial"/>
          <w:sz w:val="22"/>
          <w:szCs w:val="22"/>
        </w:rPr>
      </w:pPr>
    </w:p>
    <w:p w:rsidR="008F08B1" w:rsidRDefault="003829AA" w:rsidP="003829AA">
      <w:pPr>
        <w:pStyle w:val="Bodycopy"/>
        <w:spacing w:before="0" w:line="240" w:lineRule="auto"/>
        <w:ind w:left="0" w:firstLine="709"/>
        <w:rPr>
          <w:rFonts w:cs="Arial"/>
          <w:sz w:val="22"/>
          <w:szCs w:val="22"/>
        </w:rPr>
      </w:pPr>
      <w:r>
        <w:rPr>
          <w:rFonts w:cs="Arial"/>
          <w:sz w:val="22"/>
          <w:szCs w:val="22"/>
        </w:rPr>
        <w:t xml:space="preserve">(i) </w:t>
      </w:r>
      <w:r w:rsidR="008F08B1" w:rsidRPr="002B73A7">
        <w:rPr>
          <w:rFonts w:cs="Arial"/>
          <w:sz w:val="22"/>
          <w:szCs w:val="22"/>
        </w:rPr>
        <w:t xml:space="preserve">The Personal Insolvency paper </w:t>
      </w:r>
    </w:p>
    <w:p w:rsidR="008F08B1" w:rsidRDefault="008F08B1" w:rsidP="003829AA">
      <w:pPr>
        <w:pStyle w:val="Bodycopy"/>
        <w:spacing w:before="0" w:line="240" w:lineRule="auto"/>
        <w:ind w:left="0" w:firstLine="709"/>
        <w:rPr>
          <w:rFonts w:cs="Arial"/>
          <w:sz w:val="22"/>
          <w:szCs w:val="22"/>
        </w:rPr>
      </w:pPr>
    </w:p>
    <w:p w:rsidR="008F08B1" w:rsidRDefault="008F08B1" w:rsidP="003829AA">
      <w:pPr>
        <w:pStyle w:val="Bodycopy"/>
        <w:spacing w:before="0" w:line="240" w:lineRule="auto"/>
        <w:ind w:left="720" w:hanging="11"/>
        <w:rPr>
          <w:rFonts w:cs="Arial"/>
          <w:sz w:val="22"/>
          <w:szCs w:val="22"/>
        </w:rPr>
      </w:pPr>
      <w:r>
        <w:rPr>
          <w:rFonts w:cs="Arial"/>
          <w:sz w:val="22"/>
          <w:szCs w:val="22"/>
        </w:rPr>
        <w:t xml:space="preserve">This paper </w:t>
      </w:r>
      <w:r w:rsidRPr="002B73A7">
        <w:rPr>
          <w:rFonts w:cs="Arial"/>
          <w:sz w:val="22"/>
          <w:szCs w:val="22"/>
        </w:rPr>
        <w:t xml:space="preserve">may include questions relating to any of the following types of entity: individuals, partnerships (except </w:t>
      </w:r>
      <w:r>
        <w:rPr>
          <w:rFonts w:cs="Arial"/>
          <w:sz w:val="22"/>
          <w:szCs w:val="22"/>
        </w:rPr>
        <w:t>l</w:t>
      </w:r>
      <w:r w:rsidRPr="002B73A7">
        <w:rPr>
          <w:rFonts w:cs="Arial"/>
          <w:sz w:val="22"/>
          <w:szCs w:val="22"/>
        </w:rPr>
        <w:t xml:space="preserve">imited </w:t>
      </w:r>
      <w:r>
        <w:rPr>
          <w:rFonts w:cs="Arial"/>
          <w:sz w:val="22"/>
          <w:szCs w:val="22"/>
        </w:rPr>
        <w:t>l</w:t>
      </w:r>
      <w:r w:rsidRPr="002B73A7">
        <w:rPr>
          <w:rFonts w:cs="Arial"/>
          <w:sz w:val="22"/>
          <w:szCs w:val="22"/>
        </w:rPr>
        <w:t xml:space="preserve">iability </w:t>
      </w:r>
      <w:r>
        <w:rPr>
          <w:rFonts w:cs="Arial"/>
          <w:sz w:val="22"/>
          <w:szCs w:val="22"/>
        </w:rPr>
        <w:t>p</w:t>
      </w:r>
      <w:r w:rsidRPr="002B73A7">
        <w:rPr>
          <w:rFonts w:cs="Arial"/>
          <w:sz w:val="22"/>
          <w:szCs w:val="22"/>
        </w:rPr>
        <w:t xml:space="preserve">artnerships) and the estates of deceased individuals. </w:t>
      </w:r>
    </w:p>
    <w:p w:rsidR="003829AA" w:rsidRDefault="008F08B1" w:rsidP="003829AA">
      <w:pPr>
        <w:pStyle w:val="Bodycopy"/>
        <w:spacing w:line="240" w:lineRule="auto"/>
        <w:ind w:left="720" w:hanging="11"/>
        <w:rPr>
          <w:rFonts w:cs="Arial"/>
          <w:sz w:val="22"/>
          <w:szCs w:val="22"/>
        </w:rPr>
      </w:pPr>
      <w:r w:rsidRPr="002B73A7">
        <w:rPr>
          <w:rFonts w:cs="Arial"/>
          <w:sz w:val="22"/>
          <w:szCs w:val="22"/>
        </w:rPr>
        <w:t>Questions on formal practice will focus on the following proced</w:t>
      </w:r>
      <w:bookmarkStart w:id="0" w:name="_GoBack"/>
      <w:bookmarkEnd w:id="0"/>
      <w:r w:rsidRPr="002B73A7">
        <w:rPr>
          <w:rFonts w:cs="Arial"/>
          <w:sz w:val="22"/>
          <w:szCs w:val="22"/>
        </w:rPr>
        <w:t>ures: Bankruptcy and Individual Voluntary Arrangements; Voluntary Trust Deeds and Sequestrations. However, questions may also test knowledge of Administrations, Liquidations and Receiverships as th</w:t>
      </w:r>
      <w:r>
        <w:rPr>
          <w:rFonts w:cs="Arial"/>
          <w:sz w:val="22"/>
          <w:szCs w:val="22"/>
        </w:rPr>
        <w:t xml:space="preserve">ey relate to individuals (e.g. </w:t>
      </w:r>
      <w:r w:rsidRPr="002B73A7">
        <w:rPr>
          <w:rFonts w:cs="Arial"/>
          <w:sz w:val="22"/>
          <w:szCs w:val="22"/>
        </w:rPr>
        <w:t xml:space="preserve">individuals in partnerships or individuals subject to Receivership). </w:t>
      </w:r>
    </w:p>
    <w:p w:rsidR="003829AA" w:rsidRPr="00A35C3D" w:rsidDel="003829AA" w:rsidRDefault="003829AA" w:rsidP="003829AA">
      <w:pPr>
        <w:pStyle w:val="Bodycopy"/>
        <w:spacing w:line="240" w:lineRule="auto"/>
        <w:ind w:left="720" w:hanging="11"/>
        <w:rPr>
          <w:rFonts w:cs="Arial"/>
          <w:color w:val="FF0000"/>
          <w:sz w:val="22"/>
          <w:szCs w:val="22"/>
        </w:rPr>
      </w:pPr>
    </w:p>
    <w:p w:rsidR="000F632B" w:rsidRDefault="003829AA" w:rsidP="001076E6">
      <w:pPr>
        <w:pStyle w:val="Bodycopy"/>
        <w:spacing w:line="240" w:lineRule="auto"/>
        <w:ind w:left="720" w:hanging="11"/>
      </w:pPr>
      <w:r w:rsidRPr="001076E6">
        <w:rPr>
          <w:sz w:val="22"/>
          <w:szCs w:val="22"/>
        </w:rPr>
        <w:t xml:space="preserve">(ii) </w:t>
      </w:r>
      <w:r w:rsidR="008F08B1" w:rsidRPr="001076E6">
        <w:rPr>
          <w:sz w:val="22"/>
          <w:szCs w:val="22"/>
        </w:rPr>
        <w:t xml:space="preserve">The </w:t>
      </w:r>
      <w:r w:rsidR="00F82686" w:rsidRPr="001076E6">
        <w:rPr>
          <w:sz w:val="22"/>
          <w:szCs w:val="22"/>
        </w:rPr>
        <w:t>Corporate Insolvency paper</w:t>
      </w:r>
      <w:r w:rsidR="008F08B1" w:rsidRPr="001076E6">
        <w:rPr>
          <w:sz w:val="22"/>
          <w:szCs w:val="22"/>
        </w:rPr>
        <w:t xml:space="preserve"> </w:t>
      </w:r>
    </w:p>
    <w:p w:rsidR="008F08B1" w:rsidRDefault="008F08B1" w:rsidP="003829AA">
      <w:pPr>
        <w:pStyle w:val="BodyText"/>
        <w:spacing w:after="0"/>
        <w:ind w:hanging="11"/>
        <w:rPr>
          <w:rFonts w:ascii="Arial" w:hAnsi="Arial" w:cs="Arial"/>
          <w:sz w:val="22"/>
          <w:szCs w:val="22"/>
        </w:rPr>
      </w:pPr>
    </w:p>
    <w:p w:rsidR="008F08B1" w:rsidRDefault="008F08B1" w:rsidP="001076E6">
      <w:pPr>
        <w:pStyle w:val="BodyText"/>
        <w:spacing w:after="0"/>
        <w:ind w:left="720" w:hanging="11"/>
        <w:rPr>
          <w:rFonts w:ascii="Arial" w:hAnsi="Arial" w:cs="Arial"/>
          <w:sz w:val="22"/>
          <w:szCs w:val="22"/>
        </w:rPr>
      </w:pPr>
      <w:r>
        <w:rPr>
          <w:rFonts w:ascii="Arial" w:hAnsi="Arial" w:cs="Arial"/>
          <w:sz w:val="22"/>
          <w:szCs w:val="22"/>
        </w:rPr>
        <w:t xml:space="preserve">This paper </w:t>
      </w:r>
      <w:r w:rsidRPr="002B73A7">
        <w:rPr>
          <w:rFonts w:ascii="Arial" w:hAnsi="Arial" w:cs="Arial"/>
          <w:sz w:val="22"/>
          <w:szCs w:val="22"/>
        </w:rPr>
        <w:t xml:space="preserve">may include questions relating to any of the following types of entity: all forms of registered and unregistered companies (whether or not in a group structure), including </w:t>
      </w:r>
      <w:r>
        <w:rPr>
          <w:rFonts w:ascii="Arial" w:hAnsi="Arial" w:cs="Arial"/>
          <w:sz w:val="22"/>
          <w:szCs w:val="22"/>
        </w:rPr>
        <w:t>l</w:t>
      </w:r>
      <w:r w:rsidRPr="002B73A7">
        <w:rPr>
          <w:rFonts w:ascii="Arial" w:hAnsi="Arial" w:cs="Arial"/>
          <w:sz w:val="22"/>
          <w:szCs w:val="22"/>
        </w:rPr>
        <w:t xml:space="preserve">imited </w:t>
      </w:r>
      <w:r>
        <w:rPr>
          <w:rFonts w:ascii="Arial" w:hAnsi="Arial" w:cs="Arial"/>
          <w:sz w:val="22"/>
          <w:szCs w:val="22"/>
        </w:rPr>
        <w:t>l</w:t>
      </w:r>
      <w:r w:rsidRPr="002B73A7">
        <w:rPr>
          <w:rFonts w:ascii="Arial" w:hAnsi="Arial" w:cs="Arial"/>
          <w:sz w:val="22"/>
          <w:szCs w:val="22"/>
        </w:rPr>
        <w:t xml:space="preserve">iability </w:t>
      </w:r>
      <w:r>
        <w:rPr>
          <w:rFonts w:ascii="Arial" w:hAnsi="Arial" w:cs="Arial"/>
          <w:sz w:val="22"/>
          <w:szCs w:val="22"/>
        </w:rPr>
        <w:t>p</w:t>
      </w:r>
      <w:r w:rsidRPr="002B73A7">
        <w:rPr>
          <w:rFonts w:ascii="Arial" w:hAnsi="Arial" w:cs="Arial"/>
          <w:sz w:val="22"/>
          <w:szCs w:val="22"/>
        </w:rPr>
        <w:t xml:space="preserve">artnerships (but excluding other partnerships). </w:t>
      </w:r>
    </w:p>
    <w:p w:rsidR="008F08B1" w:rsidRDefault="008F08B1" w:rsidP="001076E6">
      <w:pPr>
        <w:pStyle w:val="BodyText"/>
        <w:spacing w:after="0"/>
        <w:ind w:left="720" w:hanging="11"/>
        <w:rPr>
          <w:rFonts w:ascii="Arial" w:hAnsi="Arial" w:cs="Arial"/>
          <w:sz w:val="22"/>
          <w:szCs w:val="22"/>
        </w:rPr>
      </w:pPr>
    </w:p>
    <w:p w:rsidR="00F82686" w:rsidRDefault="008F08B1" w:rsidP="001076E6">
      <w:pPr>
        <w:pStyle w:val="Bodycopy"/>
        <w:spacing w:before="0" w:line="240" w:lineRule="auto"/>
        <w:ind w:left="720" w:hanging="11"/>
        <w:rPr>
          <w:sz w:val="22"/>
          <w:szCs w:val="22"/>
        </w:rPr>
      </w:pPr>
      <w:r w:rsidRPr="002B73A7">
        <w:rPr>
          <w:rFonts w:cs="Arial"/>
          <w:sz w:val="22"/>
          <w:szCs w:val="22"/>
        </w:rPr>
        <w:t xml:space="preserve">Questions on formal practice will </w:t>
      </w:r>
      <w:r w:rsidR="00EE041D">
        <w:rPr>
          <w:rFonts w:cs="Arial"/>
          <w:sz w:val="22"/>
          <w:szCs w:val="22"/>
        </w:rPr>
        <w:t>focus on</w:t>
      </w:r>
      <w:r w:rsidRPr="002B73A7">
        <w:rPr>
          <w:rFonts w:cs="Arial"/>
          <w:sz w:val="22"/>
          <w:szCs w:val="22"/>
        </w:rPr>
        <w:t xml:space="preserve"> the following procedures: Members’ Voluntary Liquidations (including Section 110 schemes)</w:t>
      </w:r>
      <w:r>
        <w:rPr>
          <w:rFonts w:cs="Arial"/>
          <w:sz w:val="22"/>
          <w:szCs w:val="22"/>
        </w:rPr>
        <w:t>,</w:t>
      </w:r>
      <w:r w:rsidRPr="002B73A7">
        <w:rPr>
          <w:rFonts w:cs="Arial"/>
          <w:sz w:val="22"/>
          <w:szCs w:val="22"/>
        </w:rPr>
        <w:t xml:space="preserve"> Creditors’ Voluntary Liquidations</w:t>
      </w:r>
      <w:r>
        <w:rPr>
          <w:rFonts w:cs="Arial"/>
          <w:sz w:val="22"/>
          <w:szCs w:val="22"/>
        </w:rPr>
        <w:t>,</w:t>
      </w:r>
      <w:r w:rsidRPr="002B73A7">
        <w:rPr>
          <w:rFonts w:cs="Arial"/>
          <w:sz w:val="22"/>
          <w:szCs w:val="22"/>
        </w:rPr>
        <w:t xml:space="preserve"> Compulsory Liquidations and the appointment of Provisional Liquidators or Special Managers</w:t>
      </w:r>
      <w:r w:rsidR="00B232C6">
        <w:rPr>
          <w:rFonts w:cs="Arial"/>
          <w:sz w:val="22"/>
          <w:szCs w:val="22"/>
        </w:rPr>
        <w:t>,</w:t>
      </w:r>
      <w:r w:rsidR="00F82686">
        <w:rPr>
          <w:rFonts w:cs="Arial"/>
          <w:sz w:val="22"/>
          <w:szCs w:val="22"/>
        </w:rPr>
        <w:t xml:space="preserve"> </w:t>
      </w:r>
      <w:r w:rsidR="00F82686" w:rsidRPr="00B16357">
        <w:rPr>
          <w:sz w:val="22"/>
          <w:szCs w:val="22"/>
        </w:rPr>
        <w:t>Company Voluntary Arrangements</w:t>
      </w:r>
      <w:r w:rsidR="00B232C6">
        <w:rPr>
          <w:sz w:val="22"/>
          <w:szCs w:val="22"/>
        </w:rPr>
        <w:t>,</w:t>
      </w:r>
      <w:r w:rsidR="00F82686" w:rsidRPr="00B16357">
        <w:rPr>
          <w:sz w:val="22"/>
          <w:szCs w:val="22"/>
        </w:rPr>
        <w:t xml:space="preserve"> Partnership Voluntary Arrangements</w:t>
      </w:r>
      <w:r w:rsidR="00F82686">
        <w:rPr>
          <w:sz w:val="22"/>
          <w:szCs w:val="22"/>
        </w:rPr>
        <w:t>,</w:t>
      </w:r>
      <w:r w:rsidR="00F82686" w:rsidRPr="00B16357">
        <w:rPr>
          <w:sz w:val="22"/>
          <w:szCs w:val="22"/>
        </w:rPr>
        <w:t xml:space="preserve"> Administrations, Administrative Receiverships, Receiverships (Scotland)</w:t>
      </w:r>
      <w:r w:rsidR="00F82686">
        <w:rPr>
          <w:sz w:val="22"/>
          <w:szCs w:val="22"/>
        </w:rPr>
        <w:t>,</w:t>
      </w:r>
      <w:r w:rsidR="00F82686" w:rsidRPr="00B16357">
        <w:rPr>
          <w:sz w:val="22"/>
          <w:szCs w:val="22"/>
        </w:rPr>
        <w:t xml:space="preserve"> Court Appointed Receiverships and Receiverships under the Law of Property Act 1925.</w:t>
      </w:r>
    </w:p>
    <w:p w:rsidR="008F08B1" w:rsidRDefault="008F08B1" w:rsidP="001076E6">
      <w:pPr>
        <w:pStyle w:val="BodyText"/>
        <w:spacing w:after="0"/>
        <w:ind w:left="720" w:hanging="11"/>
        <w:rPr>
          <w:rFonts w:ascii="Arial" w:hAnsi="Arial" w:cs="Arial"/>
          <w:sz w:val="22"/>
          <w:szCs w:val="22"/>
        </w:rPr>
      </w:pPr>
    </w:p>
    <w:p w:rsidR="008F08B1" w:rsidRDefault="008F08B1" w:rsidP="001076E6">
      <w:pPr>
        <w:pStyle w:val="Bodycopy"/>
        <w:spacing w:before="0" w:line="240" w:lineRule="auto"/>
        <w:ind w:left="720" w:hanging="11"/>
        <w:rPr>
          <w:sz w:val="22"/>
          <w:szCs w:val="22"/>
        </w:rPr>
      </w:pPr>
      <w:r w:rsidRPr="00B16357">
        <w:rPr>
          <w:sz w:val="22"/>
          <w:szCs w:val="22"/>
        </w:rPr>
        <w:t>Candidates will be expected to recognise that the following types of entity require special treatment, but they will not be required to deal with these entities in detail: Industrial Societies, Provident Societies, Friendly Societies, Commonhold Associations and Community Interest Companies</w:t>
      </w:r>
      <w:r w:rsidRPr="00B16357">
        <w:rPr>
          <w:i/>
          <w:iCs/>
          <w:color w:val="0000FF"/>
          <w:sz w:val="22"/>
          <w:szCs w:val="22"/>
        </w:rPr>
        <w:t>.</w:t>
      </w:r>
      <w:r w:rsidRPr="00B16357">
        <w:rPr>
          <w:sz w:val="22"/>
          <w:szCs w:val="22"/>
        </w:rPr>
        <w:t xml:space="preserve"> </w:t>
      </w:r>
    </w:p>
    <w:p w:rsidR="001076E6" w:rsidRDefault="001076E6" w:rsidP="001076E6">
      <w:pPr>
        <w:pStyle w:val="Bodycopy"/>
        <w:spacing w:before="0" w:line="240" w:lineRule="auto"/>
        <w:ind w:left="720" w:hanging="11"/>
        <w:rPr>
          <w:sz w:val="22"/>
          <w:szCs w:val="22"/>
        </w:rPr>
      </w:pPr>
    </w:p>
    <w:p w:rsidR="008F08B1" w:rsidRDefault="003829AA" w:rsidP="001076E6">
      <w:pPr>
        <w:pStyle w:val="Bodycopy"/>
        <w:spacing w:before="0" w:line="240" w:lineRule="auto"/>
        <w:ind w:left="0" w:firstLine="709"/>
        <w:rPr>
          <w:sz w:val="22"/>
          <w:szCs w:val="22"/>
        </w:rPr>
      </w:pPr>
      <w:r>
        <w:rPr>
          <w:sz w:val="22"/>
          <w:szCs w:val="22"/>
        </w:rPr>
        <w:t xml:space="preserve">(iii) </w:t>
      </w:r>
      <w:r w:rsidR="008F08B1">
        <w:rPr>
          <w:sz w:val="22"/>
          <w:szCs w:val="22"/>
        </w:rPr>
        <w:t>Demonstrating knowledge of other non-formal or formal insolvency practices</w:t>
      </w:r>
    </w:p>
    <w:p w:rsidR="008F08B1" w:rsidRDefault="008F08B1" w:rsidP="001076E6">
      <w:pPr>
        <w:pStyle w:val="Bodycopy"/>
        <w:spacing w:before="0" w:line="240" w:lineRule="auto"/>
        <w:ind w:left="720" w:firstLine="709"/>
        <w:rPr>
          <w:sz w:val="22"/>
          <w:szCs w:val="22"/>
        </w:rPr>
      </w:pPr>
    </w:p>
    <w:p w:rsidR="008F08B1" w:rsidRDefault="008F08B1" w:rsidP="003829AA">
      <w:pPr>
        <w:pStyle w:val="Bodycopy"/>
        <w:spacing w:before="0" w:line="240" w:lineRule="auto"/>
        <w:ind w:left="720" w:hanging="11"/>
        <w:rPr>
          <w:sz w:val="22"/>
          <w:szCs w:val="22"/>
        </w:rPr>
      </w:pPr>
      <w:r>
        <w:rPr>
          <w:sz w:val="22"/>
          <w:szCs w:val="22"/>
        </w:rPr>
        <w:t xml:space="preserve">The </w:t>
      </w:r>
      <w:r w:rsidR="008774D4">
        <w:rPr>
          <w:sz w:val="22"/>
          <w:szCs w:val="22"/>
        </w:rPr>
        <w:t>two</w:t>
      </w:r>
      <w:r>
        <w:rPr>
          <w:sz w:val="22"/>
          <w:szCs w:val="22"/>
        </w:rPr>
        <w:t xml:space="preserve"> papers described in paragraphs </w:t>
      </w:r>
      <w:r w:rsidR="00B232C6">
        <w:rPr>
          <w:sz w:val="22"/>
          <w:szCs w:val="22"/>
        </w:rPr>
        <w:t>(i)</w:t>
      </w:r>
      <w:r>
        <w:rPr>
          <w:sz w:val="22"/>
          <w:szCs w:val="22"/>
        </w:rPr>
        <w:t xml:space="preserve"> </w:t>
      </w:r>
      <w:r w:rsidR="008774D4">
        <w:rPr>
          <w:sz w:val="22"/>
          <w:szCs w:val="22"/>
        </w:rPr>
        <w:t>and</w:t>
      </w:r>
      <w:r>
        <w:rPr>
          <w:sz w:val="22"/>
          <w:szCs w:val="22"/>
        </w:rPr>
        <w:t xml:space="preserve"> </w:t>
      </w:r>
      <w:r w:rsidR="00B232C6">
        <w:rPr>
          <w:sz w:val="22"/>
          <w:szCs w:val="22"/>
        </w:rPr>
        <w:t>(ii)</w:t>
      </w:r>
      <w:r>
        <w:rPr>
          <w:sz w:val="22"/>
          <w:szCs w:val="22"/>
        </w:rPr>
        <w:t xml:space="preserve"> above will predominantly consist of questions as described in those paragraphs. However, candidates should be prepared to answer questions or to make points about </w:t>
      </w:r>
      <w:r>
        <w:rPr>
          <w:rFonts w:cs="Arial"/>
          <w:sz w:val="22"/>
          <w:szCs w:val="22"/>
        </w:rPr>
        <w:t>non-formal or formal insolvency practice that is outside the usual subject matters of the particular paper being attempted,</w:t>
      </w:r>
    </w:p>
    <w:p w:rsidR="008F08B1" w:rsidRDefault="008F08B1" w:rsidP="003829AA">
      <w:pPr>
        <w:pStyle w:val="Bodycopy"/>
        <w:spacing w:before="0" w:line="240" w:lineRule="auto"/>
        <w:ind w:left="720" w:hanging="11"/>
        <w:rPr>
          <w:rFonts w:cs="Arial"/>
          <w:sz w:val="22"/>
          <w:szCs w:val="22"/>
        </w:rPr>
      </w:pPr>
    </w:p>
    <w:p w:rsidR="008F08B1" w:rsidRDefault="008F08B1" w:rsidP="003829AA">
      <w:pPr>
        <w:pStyle w:val="Bodycopy"/>
        <w:spacing w:before="0" w:line="240" w:lineRule="auto"/>
        <w:ind w:left="720" w:hanging="11"/>
        <w:rPr>
          <w:rFonts w:cs="Arial"/>
          <w:sz w:val="22"/>
          <w:szCs w:val="22"/>
        </w:rPr>
      </w:pPr>
      <w:r>
        <w:rPr>
          <w:rFonts w:cs="Arial"/>
          <w:sz w:val="22"/>
          <w:szCs w:val="22"/>
        </w:rPr>
        <w:t xml:space="preserve">In order to do this, candidates will not be required to demonstrate detailed knowledge of that practice. However, candidates will be required to demonstrate a general appreciation of other types of non-formal and formal insolvency practice, the aims of such practice and the principal steps that need to be taken to initiate such practice. </w:t>
      </w:r>
    </w:p>
    <w:p w:rsidR="008F08B1" w:rsidRDefault="008F08B1" w:rsidP="003829AA">
      <w:pPr>
        <w:pStyle w:val="Bodycopy"/>
        <w:spacing w:before="0" w:line="240" w:lineRule="auto"/>
        <w:ind w:left="720" w:hanging="11"/>
        <w:rPr>
          <w:rFonts w:cs="Arial"/>
          <w:sz w:val="22"/>
          <w:szCs w:val="22"/>
        </w:rPr>
      </w:pPr>
    </w:p>
    <w:p w:rsidR="00F82686" w:rsidRDefault="008F08B1" w:rsidP="003829AA">
      <w:pPr>
        <w:pStyle w:val="Bodycopy"/>
        <w:spacing w:before="0" w:line="240" w:lineRule="auto"/>
        <w:ind w:left="720" w:hanging="11"/>
        <w:rPr>
          <w:rFonts w:cs="Arial"/>
          <w:sz w:val="22"/>
          <w:szCs w:val="22"/>
        </w:rPr>
      </w:pPr>
      <w:r>
        <w:rPr>
          <w:rFonts w:cs="Arial"/>
          <w:sz w:val="22"/>
          <w:szCs w:val="22"/>
        </w:rPr>
        <w:t>Candidates should be prepared to give answers or make points about</w:t>
      </w:r>
      <w:r w:rsidRPr="00AD0C3A">
        <w:rPr>
          <w:rFonts w:cs="Arial"/>
          <w:sz w:val="22"/>
          <w:szCs w:val="22"/>
        </w:rPr>
        <w:t xml:space="preserve"> </w:t>
      </w:r>
      <w:r>
        <w:rPr>
          <w:rFonts w:cs="Arial"/>
          <w:sz w:val="22"/>
          <w:szCs w:val="22"/>
        </w:rPr>
        <w:t xml:space="preserve">non-formal or formal insolvency practice that is outside the usual subject matters of the particular paper being attempted, either in response to a standalone question or as part of an answer to a wider question. </w:t>
      </w:r>
    </w:p>
    <w:p w:rsidR="008774D4" w:rsidDel="00F82686" w:rsidRDefault="008774D4" w:rsidP="003829AA">
      <w:pPr>
        <w:pStyle w:val="Bodycopy"/>
        <w:spacing w:before="0" w:line="240" w:lineRule="auto"/>
        <w:ind w:left="720" w:hanging="11"/>
        <w:rPr>
          <w:b/>
          <w:caps/>
          <w:sz w:val="22"/>
        </w:rPr>
      </w:pPr>
    </w:p>
    <w:p w:rsidR="00C042B9" w:rsidRDefault="00C042B9" w:rsidP="003829AA">
      <w:pPr>
        <w:spacing w:line="240" w:lineRule="auto"/>
        <w:ind w:hanging="11"/>
        <w:rPr>
          <w:b/>
          <w:caps/>
          <w:sz w:val="22"/>
        </w:rPr>
      </w:pPr>
    </w:p>
    <w:p w:rsidR="00C042B9" w:rsidRDefault="00C042B9" w:rsidP="003829AA">
      <w:pPr>
        <w:spacing w:line="240" w:lineRule="auto"/>
        <w:ind w:hanging="11"/>
        <w:rPr>
          <w:b/>
          <w:caps/>
          <w:sz w:val="22"/>
        </w:rPr>
      </w:pPr>
    </w:p>
    <w:p w:rsidR="00C042B9" w:rsidRDefault="00C042B9">
      <w:pPr>
        <w:spacing w:line="240" w:lineRule="auto"/>
        <w:rPr>
          <w:b/>
          <w:caps/>
          <w:sz w:val="22"/>
        </w:rPr>
      </w:pPr>
    </w:p>
    <w:p w:rsidR="00C042B9" w:rsidRDefault="006D0FBB">
      <w:pPr>
        <w:spacing w:line="240" w:lineRule="auto"/>
        <w:rPr>
          <w:b/>
          <w:caps/>
          <w:sz w:val="22"/>
        </w:rPr>
      </w:pPr>
      <w:r>
        <w:rPr>
          <w:b/>
          <w:caps/>
          <w:sz w:val="22"/>
        </w:rPr>
        <w:lastRenderedPageBreak/>
        <w:t xml:space="preserve">C. </w:t>
      </w:r>
      <w:r w:rsidR="003829AA">
        <w:rPr>
          <w:b/>
          <w:caps/>
          <w:sz w:val="22"/>
        </w:rPr>
        <w:t>FoRMAL an</w:t>
      </w:r>
      <w:r w:rsidR="00C042B9">
        <w:rPr>
          <w:b/>
          <w:caps/>
          <w:sz w:val="22"/>
        </w:rPr>
        <w:t>d NON - FORMal</w:t>
      </w:r>
      <w:r w:rsidR="003829AA">
        <w:rPr>
          <w:b/>
          <w:caps/>
          <w:sz w:val="22"/>
        </w:rPr>
        <w:t xml:space="preserve">  Practice</w:t>
      </w:r>
    </w:p>
    <w:p w:rsidR="00C042B9" w:rsidRDefault="00C042B9">
      <w:pPr>
        <w:spacing w:line="240" w:lineRule="auto"/>
        <w:rPr>
          <w:b/>
          <w:caps/>
          <w:sz w:val="22"/>
        </w:rPr>
      </w:pPr>
    </w:p>
    <w:p w:rsidR="00C042B9" w:rsidDel="00F82686" w:rsidRDefault="00C042B9">
      <w:pPr>
        <w:spacing w:line="240" w:lineRule="auto"/>
        <w:rPr>
          <w:b/>
          <w:caps/>
          <w:sz w:val="22"/>
        </w:rPr>
      </w:pPr>
    </w:p>
    <w:p w:rsidR="000F632B" w:rsidRPr="001076E6" w:rsidRDefault="00FE5F92" w:rsidP="001076E6">
      <w:pPr>
        <w:spacing w:line="240" w:lineRule="auto"/>
      </w:pPr>
      <w:r w:rsidRPr="001076E6">
        <w:rPr>
          <w:b/>
          <w:sz w:val="22"/>
        </w:rPr>
        <w:t>N</w:t>
      </w:r>
      <w:r w:rsidR="006D0FBB">
        <w:rPr>
          <w:b/>
          <w:sz w:val="22"/>
        </w:rPr>
        <w:t>ON – FORMAL INSOLVENCY PRACTICE</w:t>
      </w:r>
    </w:p>
    <w:p w:rsidR="00FE5F92" w:rsidRPr="00FE5F92" w:rsidRDefault="00FE5F92" w:rsidP="00FE5F92">
      <w:pPr>
        <w:pStyle w:val="Bodycopy"/>
        <w:spacing w:before="0" w:line="240" w:lineRule="auto"/>
        <w:ind w:left="2274"/>
      </w:pPr>
    </w:p>
    <w:p w:rsidR="00FE5F92" w:rsidRPr="00B16357" w:rsidRDefault="00FE5F92" w:rsidP="00FE5F92">
      <w:pPr>
        <w:pStyle w:val="Bodycopy"/>
        <w:spacing w:before="120" w:line="240" w:lineRule="auto"/>
        <w:ind w:left="0"/>
        <w:rPr>
          <w:sz w:val="22"/>
          <w:szCs w:val="22"/>
        </w:rPr>
      </w:pPr>
      <w:r w:rsidRPr="00B16357">
        <w:rPr>
          <w:sz w:val="22"/>
          <w:szCs w:val="22"/>
        </w:rPr>
        <w:t>This section of the syllabus refers to engagements for the provision of analysis and advice about matters relating to entities that might already be, or that are at risk of becoming, insolvent</w:t>
      </w:r>
      <w:r>
        <w:rPr>
          <w:sz w:val="22"/>
          <w:szCs w:val="22"/>
        </w:rPr>
        <w:t xml:space="preserve">. </w:t>
      </w:r>
      <w:r w:rsidRPr="00B16357">
        <w:rPr>
          <w:sz w:val="22"/>
          <w:szCs w:val="22"/>
        </w:rPr>
        <w:t>The potential clients for this advice include the entities, their representatives, their creditors, and any other stakeholders.</w:t>
      </w:r>
    </w:p>
    <w:p w:rsidR="002B73A7" w:rsidRPr="00FE5F92" w:rsidRDefault="002B73A7" w:rsidP="00FE5F92">
      <w:pPr>
        <w:pStyle w:val="BodyText"/>
        <w:spacing w:after="0"/>
        <w:rPr>
          <w:rFonts w:ascii="Arial" w:hAnsi="Arial" w:cs="Arial"/>
          <w:sz w:val="22"/>
          <w:szCs w:val="22"/>
        </w:rPr>
      </w:pPr>
    </w:p>
    <w:p w:rsidR="00FE5F92" w:rsidRDefault="00FE5F92" w:rsidP="00FE5F92">
      <w:pPr>
        <w:pStyle w:val="Subhead2"/>
        <w:spacing w:before="0" w:line="240" w:lineRule="auto"/>
        <w:ind w:left="0"/>
        <w:outlineLvl w:val="0"/>
        <w:rPr>
          <w:sz w:val="22"/>
          <w:szCs w:val="22"/>
        </w:rPr>
      </w:pPr>
      <w:r w:rsidRPr="00FE5F92">
        <w:rPr>
          <w:sz w:val="22"/>
          <w:szCs w:val="22"/>
        </w:rPr>
        <w:t>Engagement</w:t>
      </w:r>
    </w:p>
    <w:p w:rsidR="00FE5F92" w:rsidRPr="00FE5F92" w:rsidRDefault="00FE5F92" w:rsidP="00FE5F92">
      <w:pPr>
        <w:pStyle w:val="Bodycopy"/>
        <w:spacing w:before="0" w:line="240" w:lineRule="auto"/>
        <w:ind w:left="2274"/>
      </w:pPr>
    </w:p>
    <w:p w:rsidR="00FE5F92" w:rsidRDefault="00FE5F92" w:rsidP="00FE5F92">
      <w:pPr>
        <w:pStyle w:val="Bodycopy"/>
        <w:spacing w:before="120" w:line="240" w:lineRule="auto"/>
        <w:ind w:left="0"/>
        <w:rPr>
          <w:sz w:val="22"/>
          <w:szCs w:val="22"/>
        </w:rPr>
      </w:pPr>
      <w:r w:rsidRPr="00B16357">
        <w:rPr>
          <w:sz w:val="22"/>
          <w:szCs w:val="22"/>
        </w:rPr>
        <w:t>The following learning outcomes refer to the process of engagement for non-formal Insolvency Practice</w:t>
      </w:r>
      <w:r>
        <w:rPr>
          <w:sz w:val="22"/>
          <w:szCs w:val="22"/>
        </w:rPr>
        <w:t xml:space="preserve">. </w:t>
      </w:r>
      <w:r w:rsidRPr="00B16357">
        <w:rPr>
          <w:sz w:val="22"/>
          <w:szCs w:val="22"/>
        </w:rPr>
        <w:t>They do not refer to the process of appointment to an office in a formal insolvency procedure, which is addressed later in the syllabus.</w:t>
      </w:r>
    </w:p>
    <w:p w:rsidR="00FE5F92" w:rsidRDefault="00FE5F92" w:rsidP="00FE5F92">
      <w:pPr>
        <w:pStyle w:val="Bodycopy"/>
        <w:spacing w:before="120" w:line="240" w:lineRule="auto"/>
        <w:ind w:left="0"/>
        <w:rPr>
          <w:sz w:val="22"/>
          <w:szCs w:val="22"/>
        </w:rPr>
      </w:pPr>
      <w:r w:rsidRPr="00B16357">
        <w:rPr>
          <w:sz w:val="22"/>
          <w:szCs w:val="22"/>
        </w:rPr>
        <w:t>Candidates should be able to</w:t>
      </w:r>
    </w:p>
    <w:p w:rsidR="00FE5F92" w:rsidRPr="00B16357" w:rsidRDefault="00FE5F92" w:rsidP="00FE5F92">
      <w:pPr>
        <w:pStyle w:val="Bodycopy"/>
        <w:spacing w:before="0" w:line="240" w:lineRule="auto"/>
        <w:ind w:left="0"/>
        <w:rPr>
          <w:sz w:val="22"/>
          <w:szCs w:val="22"/>
        </w:rPr>
      </w:pPr>
    </w:p>
    <w:p w:rsidR="00FE5F92" w:rsidRDefault="00FE5F92" w:rsidP="00FE5F92">
      <w:pPr>
        <w:pStyle w:val="Numberedparagraph"/>
        <w:spacing w:before="120" w:line="240" w:lineRule="auto"/>
        <w:ind w:left="539" w:hanging="539"/>
        <w:rPr>
          <w:sz w:val="22"/>
          <w:szCs w:val="22"/>
        </w:rPr>
      </w:pPr>
      <w:r>
        <w:rPr>
          <w:sz w:val="22"/>
          <w:szCs w:val="22"/>
        </w:rPr>
        <w:t>1.</w:t>
      </w:r>
      <w:r>
        <w:rPr>
          <w:sz w:val="22"/>
          <w:szCs w:val="22"/>
        </w:rPr>
        <w:tab/>
      </w:r>
      <w:r w:rsidRPr="00B16357">
        <w:rPr>
          <w:sz w:val="22"/>
          <w:szCs w:val="22"/>
        </w:rPr>
        <w:t>identify legal, regulatory and ethical considerations affecting the engagement, and also practical considerations (e</w:t>
      </w:r>
      <w:r w:rsidR="005C4C66">
        <w:rPr>
          <w:sz w:val="22"/>
          <w:szCs w:val="22"/>
        </w:rPr>
        <w:t>.</w:t>
      </w:r>
      <w:r w:rsidRPr="00B16357">
        <w:rPr>
          <w:sz w:val="22"/>
          <w:szCs w:val="22"/>
        </w:rPr>
        <w:t>g</w:t>
      </w:r>
      <w:r w:rsidR="005C4C66">
        <w:rPr>
          <w:sz w:val="22"/>
          <w:szCs w:val="22"/>
        </w:rPr>
        <w:t>.</w:t>
      </w:r>
      <w:r w:rsidRPr="00B16357">
        <w:rPr>
          <w:sz w:val="22"/>
          <w:szCs w:val="22"/>
        </w:rPr>
        <w:t xml:space="preserve"> staffing levels, relevant experience, and qualifications) to determine whether the</w:t>
      </w:r>
      <w:r w:rsidR="00EA66F2">
        <w:rPr>
          <w:sz w:val="22"/>
          <w:szCs w:val="22"/>
        </w:rPr>
        <w:t xml:space="preserve"> engagement can be accepted;</w:t>
      </w:r>
    </w:p>
    <w:p w:rsidR="00FE5F92" w:rsidRPr="00B16357" w:rsidRDefault="00FE5F92" w:rsidP="00FE5F92">
      <w:pPr>
        <w:pStyle w:val="Numberedparagraph"/>
        <w:spacing w:before="0" w:line="240" w:lineRule="auto"/>
        <w:ind w:left="540" w:hanging="540"/>
        <w:rPr>
          <w:sz w:val="22"/>
          <w:szCs w:val="22"/>
        </w:rPr>
      </w:pPr>
    </w:p>
    <w:p w:rsidR="00FE5F92" w:rsidRDefault="00FE5F92" w:rsidP="00FE5F92">
      <w:pPr>
        <w:pStyle w:val="Numberedparagraph"/>
        <w:spacing w:before="120" w:line="240" w:lineRule="auto"/>
        <w:ind w:left="539" w:hanging="539"/>
        <w:rPr>
          <w:sz w:val="22"/>
          <w:szCs w:val="22"/>
        </w:rPr>
      </w:pPr>
      <w:r>
        <w:rPr>
          <w:sz w:val="22"/>
          <w:szCs w:val="22"/>
        </w:rPr>
        <w:t>2.</w:t>
      </w:r>
      <w:r>
        <w:rPr>
          <w:sz w:val="22"/>
          <w:szCs w:val="22"/>
        </w:rPr>
        <w:tab/>
      </w:r>
      <w:r w:rsidRPr="00B16357">
        <w:rPr>
          <w:sz w:val="22"/>
          <w:szCs w:val="22"/>
        </w:rPr>
        <w:t xml:space="preserve">set out and confirm the adviser’s and the client’s duties, responsibilities and obligations in connection with the engagement. </w:t>
      </w:r>
    </w:p>
    <w:p w:rsidR="00FE5F92" w:rsidRPr="00B16357" w:rsidRDefault="00FE5F92" w:rsidP="00FE5F92">
      <w:pPr>
        <w:pStyle w:val="Numberedparagraph"/>
        <w:spacing w:before="0" w:line="240" w:lineRule="auto"/>
        <w:ind w:left="540" w:hanging="540"/>
        <w:rPr>
          <w:sz w:val="22"/>
          <w:szCs w:val="22"/>
        </w:rPr>
      </w:pPr>
    </w:p>
    <w:p w:rsidR="00FE5F92" w:rsidRDefault="00FE5F92" w:rsidP="00FE5F92">
      <w:pPr>
        <w:pStyle w:val="Subhead2"/>
        <w:spacing w:before="0" w:line="240" w:lineRule="auto"/>
        <w:ind w:left="0"/>
        <w:outlineLvl w:val="0"/>
        <w:rPr>
          <w:bCs/>
          <w:iCs/>
          <w:sz w:val="22"/>
          <w:szCs w:val="22"/>
        </w:rPr>
      </w:pPr>
      <w:r w:rsidRPr="00FE5F92">
        <w:rPr>
          <w:bCs/>
          <w:iCs/>
          <w:sz w:val="22"/>
          <w:szCs w:val="22"/>
        </w:rPr>
        <w:t>Analysis and Advice</w:t>
      </w:r>
    </w:p>
    <w:p w:rsidR="00FE5F92" w:rsidRPr="00FE5F92" w:rsidRDefault="00FE5F92" w:rsidP="00FE5F92">
      <w:pPr>
        <w:pStyle w:val="Bodycopy"/>
        <w:spacing w:before="0" w:line="240" w:lineRule="auto"/>
        <w:ind w:left="2274"/>
      </w:pPr>
    </w:p>
    <w:p w:rsidR="00FE5F92" w:rsidRDefault="00FE5F92" w:rsidP="00FE5F92">
      <w:pPr>
        <w:pStyle w:val="Bodycopy"/>
        <w:spacing w:before="120" w:line="240" w:lineRule="auto"/>
        <w:ind w:left="0"/>
        <w:rPr>
          <w:sz w:val="22"/>
          <w:szCs w:val="22"/>
        </w:rPr>
      </w:pPr>
      <w:r w:rsidRPr="00B16357">
        <w:rPr>
          <w:sz w:val="22"/>
          <w:szCs w:val="22"/>
        </w:rPr>
        <w:t>The following learning outcomes refer to analyses of the entity’s financial affairs, and to the provision of advice with regard to those affairs</w:t>
      </w:r>
      <w:r>
        <w:rPr>
          <w:sz w:val="22"/>
          <w:szCs w:val="22"/>
        </w:rPr>
        <w:t xml:space="preserve">. </w:t>
      </w:r>
    </w:p>
    <w:p w:rsidR="00FE5F92" w:rsidRPr="00B16357" w:rsidRDefault="00FE5F92" w:rsidP="00FE5F92">
      <w:pPr>
        <w:pStyle w:val="Bodycopy"/>
        <w:spacing w:before="0" w:line="240" w:lineRule="auto"/>
        <w:ind w:left="0"/>
        <w:rPr>
          <w:sz w:val="22"/>
          <w:szCs w:val="22"/>
        </w:rPr>
      </w:pPr>
    </w:p>
    <w:p w:rsidR="00FE5F92" w:rsidRDefault="00FE5F92" w:rsidP="00FE5F92">
      <w:pPr>
        <w:pStyle w:val="Bodycopy"/>
        <w:spacing w:before="120" w:line="240" w:lineRule="auto"/>
        <w:ind w:left="0"/>
        <w:rPr>
          <w:sz w:val="22"/>
          <w:szCs w:val="22"/>
        </w:rPr>
      </w:pPr>
      <w:r w:rsidRPr="00B16357">
        <w:rPr>
          <w:sz w:val="22"/>
          <w:szCs w:val="22"/>
        </w:rPr>
        <w:t>The analyses will be necessary to provide the basis for the advice, which is why the learning outcomes dealing with analyses are in this part of the syllabus</w:t>
      </w:r>
      <w:r>
        <w:rPr>
          <w:sz w:val="22"/>
          <w:szCs w:val="22"/>
        </w:rPr>
        <w:t xml:space="preserve">. </w:t>
      </w:r>
      <w:r w:rsidRPr="00B16357">
        <w:rPr>
          <w:sz w:val="22"/>
          <w:szCs w:val="22"/>
        </w:rPr>
        <w:t>Similar analyses will be required for formal Insolvency Practice, which is addressed in the next section of the syllabus.</w:t>
      </w:r>
    </w:p>
    <w:p w:rsidR="00FE5F92" w:rsidRPr="00B16357" w:rsidRDefault="00FE5F92" w:rsidP="00FE5F92">
      <w:pPr>
        <w:pStyle w:val="Bodycopy"/>
        <w:spacing w:before="0" w:line="240" w:lineRule="auto"/>
        <w:ind w:left="0"/>
        <w:rPr>
          <w:sz w:val="22"/>
          <w:szCs w:val="22"/>
        </w:rPr>
      </w:pPr>
    </w:p>
    <w:p w:rsidR="00FE5F92" w:rsidRDefault="00FE5F92" w:rsidP="00FE5F92">
      <w:pPr>
        <w:pStyle w:val="Numberedparagraph"/>
        <w:spacing w:before="120" w:line="240" w:lineRule="auto"/>
        <w:rPr>
          <w:sz w:val="22"/>
          <w:szCs w:val="22"/>
        </w:rPr>
      </w:pPr>
      <w:r w:rsidRPr="00B16357">
        <w:rPr>
          <w:sz w:val="22"/>
          <w:szCs w:val="22"/>
        </w:rPr>
        <w:t>Candidates should be able to</w:t>
      </w:r>
    </w:p>
    <w:p w:rsidR="00FE5F92" w:rsidRDefault="00FE5F92" w:rsidP="00FE5F92">
      <w:pPr>
        <w:pStyle w:val="Numberedparagraph"/>
        <w:spacing w:before="0" w:line="240" w:lineRule="auto"/>
        <w:rPr>
          <w:sz w:val="22"/>
          <w:szCs w:val="22"/>
        </w:rPr>
      </w:pPr>
    </w:p>
    <w:p w:rsidR="00FE5F92" w:rsidRDefault="00FE5F92" w:rsidP="00FE5F92">
      <w:pPr>
        <w:pStyle w:val="Numberedparagraph"/>
        <w:spacing w:before="120" w:line="240" w:lineRule="auto"/>
        <w:ind w:left="567" w:hanging="567"/>
        <w:rPr>
          <w:sz w:val="22"/>
          <w:szCs w:val="22"/>
        </w:rPr>
      </w:pPr>
      <w:r>
        <w:rPr>
          <w:sz w:val="22"/>
          <w:szCs w:val="22"/>
        </w:rPr>
        <w:t>3.</w:t>
      </w:r>
      <w:r>
        <w:rPr>
          <w:sz w:val="22"/>
          <w:szCs w:val="22"/>
        </w:rPr>
        <w:tab/>
      </w:r>
      <w:r w:rsidRPr="00B16357">
        <w:rPr>
          <w:sz w:val="22"/>
          <w:szCs w:val="22"/>
        </w:rPr>
        <w:t>assess an entity’s overall financial state and solvency by</w:t>
      </w:r>
    </w:p>
    <w:p w:rsidR="00FE5F92" w:rsidRPr="00B16357" w:rsidRDefault="00FE5F92" w:rsidP="00FE5F92">
      <w:pPr>
        <w:pStyle w:val="Numberedparagraph"/>
        <w:spacing w:before="0" w:line="240" w:lineRule="auto"/>
        <w:ind w:left="567" w:hanging="567"/>
        <w:rPr>
          <w:sz w:val="22"/>
          <w:szCs w:val="22"/>
        </w:rPr>
      </w:pPr>
    </w:p>
    <w:p w:rsidR="00FE5F92" w:rsidRPr="00B16357" w:rsidRDefault="00FE5F92" w:rsidP="00835008">
      <w:pPr>
        <w:pStyle w:val="Bullets"/>
        <w:numPr>
          <w:ilvl w:val="0"/>
          <w:numId w:val="4"/>
        </w:numPr>
        <w:tabs>
          <w:tab w:val="clear" w:pos="2877"/>
        </w:tabs>
        <w:spacing w:before="120" w:line="240" w:lineRule="auto"/>
        <w:ind w:left="1418" w:hanging="879"/>
        <w:rPr>
          <w:sz w:val="22"/>
          <w:szCs w:val="22"/>
        </w:rPr>
      </w:pPr>
      <w:r>
        <w:rPr>
          <w:sz w:val="22"/>
          <w:szCs w:val="22"/>
        </w:rPr>
        <w:tab/>
      </w:r>
      <w:r w:rsidRPr="00B16357">
        <w:rPr>
          <w:sz w:val="22"/>
          <w:szCs w:val="22"/>
        </w:rPr>
        <w:t>ascertaining the value of assets and the amount of liabilities, including contingent and prospective liabilities</w:t>
      </w:r>
      <w:r w:rsidR="00B7302B">
        <w:rPr>
          <w:sz w:val="22"/>
          <w:szCs w:val="22"/>
        </w:rPr>
        <w:t>;</w:t>
      </w:r>
    </w:p>
    <w:p w:rsidR="00FE5F92" w:rsidRDefault="00FE5F92" w:rsidP="00FE5F92">
      <w:pPr>
        <w:pStyle w:val="Bullets"/>
        <w:numPr>
          <w:ilvl w:val="0"/>
          <w:numId w:val="4"/>
        </w:numPr>
        <w:tabs>
          <w:tab w:val="clear" w:pos="2877"/>
        </w:tabs>
        <w:spacing w:before="120" w:line="240" w:lineRule="auto"/>
        <w:ind w:left="1078" w:hanging="539"/>
        <w:rPr>
          <w:sz w:val="22"/>
          <w:szCs w:val="22"/>
        </w:rPr>
      </w:pPr>
      <w:r>
        <w:rPr>
          <w:sz w:val="22"/>
          <w:szCs w:val="22"/>
        </w:rPr>
        <w:tab/>
      </w:r>
      <w:r w:rsidRPr="00B16357">
        <w:rPr>
          <w:sz w:val="22"/>
          <w:szCs w:val="22"/>
        </w:rPr>
        <w:t>considering the achievability of profit and loss, and cash flow forecasts.</w:t>
      </w:r>
    </w:p>
    <w:p w:rsidR="00FE5F92" w:rsidRDefault="00FE5F92" w:rsidP="00FE5F92">
      <w:pPr>
        <w:pStyle w:val="Bullets"/>
        <w:numPr>
          <w:ilvl w:val="0"/>
          <w:numId w:val="0"/>
        </w:numPr>
        <w:spacing w:before="0" w:line="240" w:lineRule="auto"/>
      </w:pPr>
    </w:p>
    <w:p w:rsidR="00FE5F92" w:rsidRDefault="00FE5F92" w:rsidP="00FE5F92">
      <w:pPr>
        <w:pStyle w:val="Bullets"/>
        <w:numPr>
          <w:ilvl w:val="0"/>
          <w:numId w:val="0"/>
        </w:numPr>
        <w:spacing w:before="120" w:line="240" w:lineRule="auto"/>
        <w:ind w:left="539" w:hanging="539"/>
        <w:rPr>
          <w:sz w:val="22"/>
          <w:szCs w:val="22"/>
        </w:rPr>
      </w:pPr>
      <w:r w:rsidRPr="00FE5F92">
        <w:rPr>
          <w:sz w:val="22"/>
          <w:szCs w:val="22"/>
        </w:rPr>
        <w:t>4.</w:t>
      </w:r>
      <w:r w:rsidRPr="00FE5F92">
        <w:rPr>
          <w:sz w:val="22"/>
          <w:szCs w:val="22"/>
        </w:rPr>
        <w:tab/>
        <w:t>establish whether an entity that appears to be insolvent should be made subject to a formal insolvency procedure or whether a non-formal insolvency procedure such as a turnaround or a debt management scheme might be appropriate</w:t>
      </w:r>
      <w:r w:rsidRPr="00FE5F92">
        <w:rPr>
          <w:rStyle w:val="FootnoteReference"/>
          <w:sz w:val="22"/>
          <w:szCs w:val="22"/>
        </w:rPr>
        <w:t xml:space="preserve"> </w:t>
      </w:r>
      <w:r w:rsidRPr="00FE5F92">
        <w:rPr>
          <w:sz w:val="22"/>
          <w:szCs w:val="22"/>
        </w:rPr>
        <w:t>. However, candidates are not required to be able to advise on the detailed techniques that may be used in any such non-formal insolvency procedures.</w:t>
      </w:r>
    </w:p>
    <w:p w:rsidR="00FE5F92" w:rsidRPr="00FE5F92" w:rsidRDefault="00FE5F92" w:rsidP="00FE5F92">
      <w:pPr>
        <w:pStyle w:val="Bullets"/>
        <w:numPr>
          <w:ilvl w:val="0"/>
          <w:numId w:val="0"/>
        </w:numPr>
        <w:spacing w:before="0" w:line="240" w:lineRule="auto"/>
        <w:ind w:left="540" w:hanging="540"/>
        <w:rPr>
          <w:sz w:val="22"/>
          <w:szCs w:val="22"/>
        </w:rPr>
      </w:pPr>
    </w:p>
    <w:p w:rsidR="00FE5F92" w:rsidRDefault="00FE5F92" w:rsidP="00FE5F92">
      <w:pPr>
        <w:pStyle w:val="Numberedparagraph"/>
        <w:spacing w:before="120" w:line="240" w:lineRule="auto"/>
        <w:ind w:left="567" w:hanging="567"/>
        <w:rPr>
          <w:sz w:val="22"/>
          <w:szCs w:val="22"/>
        </w:rPr>
      </w:pPr>
      <w:r w:rsidRPr="00FE5F92">
        <w:rPr>
          <w:sz w:val="22"/>
          <w:szCs w:val="22"/>
        </w:rPr>
        <w:t>5.</w:t>
      </w:r>
      <w:r w:rsidRPr="00FE5F92">
        <w:rPr>
          <w:sz w:val="22"/>
          <w:szCs w:val="22"/>
        </w:rPr>
        <w:tab/>
        <w:t>identify the most appropriate formal insolvency procedure and estimate the financial outcome of an entity’s insolvency by</w:t>
      </w:r>
    </w:p>
    <w:p w:rsidR="00FE5F92" w:rsidRPr="00FE5F92" w:rsidRDefault="00FE5F92" w:rsidP="00FE5F92">
      <w:pPr>
        <w:pStyle w:val="Numberedparagraph"/>
        <w:spacing w:before="0" w:line="240" w:lineRule="auto"/>
        <w:ind w:left="567" w:hanging="567"/>
        <w:rPr>
          <w:sz w:val="22"/>
          <w:szCs w:val="22"/>
        </w:rPr>
      </w:pPr>
    </w:p>
    <w:p w:rsidR="00FE5F92" w:rsidRPr="00FE5F92" w:rsidRDefault="00FE5F92" w:rsidP="00835008">
      <w:pPr>
        <w:pStyle w:val="Bullets"/>
        <w:numPr>
          <w:ilvl w:val="0"/>
          <w:numId w:val="7"/>
        </w:numPr>
        <w:tabs>
          <w:tab w:val="clear" w:pos="720"/>
        </w:tabs>
        <w:spacing w:before="120" w:line="240" w:lineRule="auto"/>
        <w:ind w:left="1418" w:hanging="851"/>
        <w:rPr>
          <w:sz w:val="22"/>
          <w:szCs w:val="22"/>
        </w:rPr>
      </w:pPr>
      <w:r w:rsidRPr="00FE5F92">
        <w:rPr>
          <w:sz w:val="22"/>
          <w:szCs w:val="22"/>
        </w:rPr>
        <w:lastRenderedPageBreak/>
        <w:tab/>
        <w:t>ascertaining the values of assets and the amounts of liabilities that would arise in the formal insolvency</w:t>
      </w:r>
      <w:r w:rsidR="00B7302B">
        <w:rPr>
          <w:sz w:val="22"/>
          <w:szCs w:val="22"/>
        </w:rPr>
        <w:t>;</w:t>
      </w:r>
    </w:p>
    <w:p w:rsidR="00FE5F92" w:rsidRDefault="00FE5F92" w:rsidP="00835008">
      <w:pPr>
        <w:pStyle w:val="Bullets"/>
        <w:numPr>
          <w:ilvl w:val="0"/>
          <w:numId w:val="4"/>
        </w:numPr>
        <w:tabs>
          <w:tab w:val="clear" w:pos="2877"/>
        </w:tabs>
        <w:spacing w:before="120" w:line="240" w:lineRule="auto"/>
        <w:ind w:left="1418" w:hanging="851"/>
        <w:rPr>
          <w:sz w:val="22"/>
          <w:szCs w:val="22"/>
        </w:rPr>
      </w:pPr>
      <w:r w:rsidRPr="00FE5F92">
        <w:rPr>
          <w:sz w:val="22"/>
          <w:szCs w:val="22"/>
        </w:rPr>
        <w:tab/>
        <w:t>comparing and contrasting the estimated outcomes from the available procedures, and from alternative strategies within the available procedures.</w:t>
      </w:r>
    </w:p>
    <w:p w:rsidR="00FE5F92" w:rsidRPr="00FE5F92" w:rsidRDefault="00FE5F92" w:rsidP="00FE5F92">
      <w:pPr>
        <w:pStyle w:val="Bullets"/>
        <w:numPr>
          <w:ilvl w:val="0"/>
          <w:numId w:val="0"/>
        </w:numPr>
        <w:spacing w:before="0" w:line="240" w:lineRule="auto"/>
        <w:ind w:left="2874" w:hanging="357"/>
        <w:rPr>
          <w:sz w:val="22"/>
          <w:szCs w:val="22"/>
        </w:rPr>
      </w:pPr>
    </w:p>
    <w:p w:rsidR="00FE5F92" w:rsidRDefault="00FE5F92" w:rsidP="00FE5F92">
      <w:pPr>
        <w:pStyle w:val="Numberedparagraph"/>
        <w:spacing w:before="120" w:line="240" w:lineRule="auto"/>
        <w:ind w:left="567" w:hanging="567"/>
        <w:rPr>
          <w:sz w:val="22"/>
          <w:szCs w:val="22"/>
        </w:rPr>
      </w:pPr>
      <w:r w:rsidRPr="00FE5F92">
        <w:rPr>
          <w:sz w:val="22"/>
          <w:szCs w:val="22"/>
        </w:rPr>
        <w:t>6.</w:t>
      </w:r>
      <w:r w:rsidRPr="00FE5F92">
        <w:rPr>
          <w:sz w:val="22"/>
          <w:szCs w:val="22"/>
        </w:rPr>
        <w:tab/>
        <w:t>provide advice to the entity or its representatives with regard to</w:t>
      </w:r>
    </w:p>
    <w:p w:rsidR="00FE5F92" w:rsidRPr="00FE5F92" w:rsidRDefault="00FE5F92" w:rsidP="00FE5F92">
      <w:pPr>
        <w:pStyle w:val="Numberedparagraph"/>
        <w:spacing w:before="0" w:line="240" w:lineRule="auto"/>
        <w:ind w:left="567" w:hanging="567"/>
        <w:rPr>
          <w:sz w:val="22"/>
          <w:szCs w:val="22"/>
        </w:rPr>
      </w:pPr>
    </w:p>
    <w:p w:rsidR="00FE5F92" w:rsidRPr="00FE5F92" w:rsidRDefault="00FE5F92" w:rsidP="00FE5F92">
      <w:pPr>
        <w:pStyle w:val="Numberedparagraph"/>
        <w:numPr>
          <w:ilvl w:val="0"/>
          <w:numId w:val="6"/>
        </w:numPr>
        <w:tabs>
          <w:tab w:val="clear" w:pos="1080"/>
        </w:tabs>
        <w:spacing w:before="120" w:line="240" w:lineRule="auto"/>
        <w:ind w:left="1077" w:hanging="510"/>
        <w:rPr>
          <w:sz w:val="22"/>
          <w:szCs w:val="22"/>
        </w:rPr>
      </w:pPr>
      <w:r w:rsidRPr="00FE5F92">
        <w:rPr>
          <w:sz w:val="22"/>
          <w:szCs w:val="22"/>
        </w:rPr>
        <w:tab/>
        <w:t>their duties, responsibilities and potential liabilities</w:t>
      </w:r>
    </w:p>
    <w:p w:rsidR="00FE5F92" w:rsidRPr="00FE5F92" w:rsidRDefault="00FE5F92" w:rsidP="00FE5F92">
      <w:pPr>
        <w:pStyle w:val="Numberedparagraph"/>
        <w:numPr>
          <w:ilvl w:val="0"/>
          <w:numId w:val="6"/>
        </w:numPr>
        <w:tabs>
          <w:tab w:val="clear" w:pos="1080"/>
        </w:tabs>
        <w:spacing w:before="120" w:line="240" w:lineRule="auto"/>
        <w:ind w:left="1077" w:hanging="510"/>
        <w:rPr>
          <w:sz w:val="22"/>
          <w:szCs w:val="22"/>
        </w:rPr>
      </w:pPr>
      <w:r w:rsidRPr="00FE5F92">
        <w:rPr>
          <w:sz w:val="22"/>
          <w:szCs w:val="22"/>
        </w:rPr>
        <w:tab/>
        <w:t>any need to seek additional legal or other guidance</w:t>
      </w:r>
    </w:p>
    <w:p w:rsidR="00FE5F92" w:rsidRDefault="00FE5F92" w:rsidP="00FE5F92">
      <w:pPr>
        <w:pStyle w:val="Numberedparagraph"/>
        <w:numPr>
          <w:ilvl w:val="0"/>
          <w:numId w:val="6"/>
        </w:numPr>
        <w:tabs>
          <w:tab w:val="clear" w:pos="1080"/>
        </w:tabs>
        <w:spacing w:before="120" w:line="240" w:lineRule="auto"/>
        <w:ind w:left="1077" w:hanging="510"/>
        <w:rPr>
          <w:sz w:val="22"/>
          <w:szCs w:val="22"/>
        </w:rPr>
      </w:pPr>
      <w:r w:rsidRPr="00FE5F92">
        <w:rPr>
          <w:sz w:val="22"/>
          <w:szCs w:val="22"/>
        </w:rPr>
        <w:tab/>
        <w:t>how best to proceed.</w:t>
      </w:r>
    </w:p>
    <w:p w:rsidR="00FE5F92" w:rsidRPr="00FE5F92" w:rsidRDefault="00FE5F92" w:rsidP="00FE5F92">
      <w:pPr>
        <w:pStyle w:val="Numberedparagraph"/>
        <w:spacing w:before="0" w:line="240" w:lineRule="auto"/>
        <w:ind w:left="567"/>
        <w:rPr>
          <w:sz w:val="22"/>
          <w:szCs w:val="22"/>
        </w:rPr>
      </w:pPr>
    </w:p>
    <w:p w:rsidR="00FE5F92" w:rsidRDefault="00FE5F92" w:rsidP="00FE5F92">
      <w:pPr>
        <w:pStyle w:val="Numberedparagraph"/>
        <w:spacing w:before="120" w:line="240" w:lineRule="auto"/>
        <w:ind w:left="567" w:hanging="567"/>
        <w:rPr>
          <w:sz w:val="22"/>
          <w:szCs w:val="22"/>
        </w:rPr>
      </w:pPr>
      <w:r w:rsidRPr="00FE5F92">
        <w:rPr>
          <w:sz w:val="22"/>
          <w:szCs w:val="22"/>
        </w:rPr>
        <w:t>7.</w:t>
      </w:r>
      <w:r w:rsidRPr="00FE5F92">
        <w:rPr>
          <w:sz w:val="22"/>
          <w:szCs w:val="22"/>
        </w:rPr>
        <w:tab/>
        <w:t>provide advice to others who are affected by the financial state of the entity with regard to protecting their interests.</w:t>
      </w:r>
    </w:p>
    <w:p w:rsidR="00FE5F92" w:rsidRPr="00FE5F92" w:rsidRDefault="00FE5F92" w:rsidP="00FE5F92">
      <w:pPr>
        <w:pStyle w:val="Numberedparagraph"/>
        <w:spacing w:before="0" w:line="240" w:lineRule="auto"/>
        <w:ind w:left="567" w:hanging="567"/>
        <w:rPr>
          <w:sz w:val="22"/>
          <w:szCs w:val="22"/>
        </w:rPr>
      </w:pPr>
    </w:p>
    <w:p w:rsidR="00FE5F92" w:rsidRDefault="00FE5F92" w:rsidP="00FE5F92">
      <w:pPr>
        <w:pStyle w:val="Numberedparagraph"/>
        <w:spacing w:before="120" w:line="240" w:lineRule="auto"/>
        <w:ind w:left="567" w:hanging="567"/>
      </w:pPr>
      <w:r w:rsidRPr="00FE5F92">
        <w:rPr>
          <w:sz w:val="22"/>
          <w:szCs w:val="22"/>
        </w:rPr>
        <w:t>8.</w:t>
      </w:r>
      <w:r w:rsidRPr="00FE5F92">
        <w:rPr>
          <w:sz w:val="22"/>
          <w:szCs w:val="22"/>
        </w:rPr>
        <w:tab/>
        <w:t>adapt their advice to take</w:t>
      </w:r>
      <w:r w:rsidRPr="00B16357">
        <w:rPr>
          <w:sz w:val="22"/>
          <w:szCs w:val="22"/>
        </w:rPr>
        <w:t xml:space="preserve"> account of new information and changing circumstances.</w:t>
      </w:r>
      <w:r>
        <w:t xml:space="preserve"> </w:t>
      </w:r>
    </w:p>
    <w:p w:rsidR="00FE5F92" w:rsidRDefault="00FE5F92" w:rsidP="00FE5F92">
      <w:pPr>
        <w:pStyle w:val="Numberedparagraph"/>
        <w:spacing w:before="0" w:line="240" w:lineRule="auto"/>
      </w:pPr>
    </w:p>
    <w:p w:rsidR="00FE5F92" w:rsidRDefault="00FE5F92" w:rsidP="00FE5F92">
      <w:pPr>
        <w:pStyle w:val="Subhead1"/>
        <w:spacing w:before="0" w:line="240" w:lineRule="auto"/>
        <w:ind w:left="1134" w:hanging="1134"/>
        <w:outlineLvl w:val="0"/>
      </w:pPr>
    </w:p>
    <w:p w:rsidR="00FE5F92" w:rsidRPr="007929B2" w:rsidRDefault="006D0FBB" w:rsidP="00FE5F92">
      <w:pPr>
        <w:pStyle w:val="Subhead1"/>
        <w:spacing w:before="0" w:line="240" w:lineRule="auto"/>
        <w:ind w:left="1134" w:hanging="1134"/>
        <w:outlineLvl w:val="0"/>
      </w:pPr>
      <w:r w:rsidRPr="007929B2">
        <w:t>ForMAL Insolvency Practice</w:t>
      </w:r>
    </w:p>
    <w:p w:rsidR="00FE5F92" w:rsidRPr="00FE5F92" w:rsidRDefault="00FE5F92" w:rsidP="00FE5F92">
      <w:pPr>
        <w:pStyle w:val="Bodycopy"/>
        <w:spacing w:before="0" w:line="240" w:lineRule="auto"/>
        <w:ind w:left="2274"/>
      </w:pPr>
    </w:p>
    <w:p w:rsidR="00FE5F92" w:rsidRDefault="00FE5F92" w:rsidP="00FE5F92">
      <w:pPr>
        <w:pStyle w:val="Bodycopy"/>
        <w:spacing w:before="120" w:line="240" w:lineRule="auto"/>
        <w:ind w:left="1134" w:hanging="1134"/>
        <w:rPr>
          <w:sz w:val="22"/>
          <w:szCs w:val="22"/>
        </w:rPr>
      </w:pPr>
      <w:r w:rsidRPr="00B16357">
        <w:rPr>
          <w:sz w:val="22"/>
          <w:szCs w:val="22"/>
        </w:rPr>
        <w:t>This section of the syllabus refers to appointments as office holder</w:t>
      </w:r>
      <w:r>
        <w:rPr>
          <w:sz w:val="22"/>
          <w:szCs w:val="22"/>
        </w:rPr>
        <w:t>.</w:t>
      </w:r>
    </w:p>
    <w:p w:rsidR="00FE5F92" w:rsidRPr="00B16357" w:rsidRDefault="00FE5F92" w:rsidP="00FE5F92">
      <w:pPr>
        <w:pStyle w:val="Bodycopy"/>
        <w:spacing w:before="0" w:line="240" w:lineRule="auto"/>
        <w:ind w:left="1134" w:hanging="1134"/>
        <w:rPr>
          <w:sz w:val="22"/>
          <w:szCs w:val="22"/>
        </w:rPr>
      </w:pPr>
      <w:r>
        <w:rPr>
          <w:sz w:val="22"/>
          <w:szCs w:val="22"/>
        </w:rPr>
        <w:t xml:space="preserve"> </w:t>
      </w:r>
    </w:p>
    <w:p w:rsidR="00FE5F92" w:rsidRDefault="00FE5F92" w:rsidP="00FE5F92">
      <w:pPr>
        <w:pStyle w:val="Bodycopy"/>
        <w:spacing w:before="120" w:line="240" w:lineRule="auto"/>
        <w:ind w:left="0"/>
        <w:rPr>
          <w:sz w:val="22"/>
          <w:szCs w:val="22"/>
        </w:rPr>
      </w:pPr>
      <w:r w:rsidRPr="00B16357">
        <w:rPr>
          <w:sz w:val="22"/>
          <w:szCs w:val="22"/>
        </w:rPr>
        <w:t>The different subsections refer in turn to case management, case strategy, and the operational requirements to make realisations, to deal with any misconduct, and to agree and pay claims.</w:t>
      </w:r>
    </w:p>
    <w:p w:rsidR="00FE5F92" w:rsidRPr="00B16357" w:rsidRDefault="00FE5F92" w:rsidP="00FE5F92">
      <w:pPr>
        <w:pStyle w:val="Bodycopy"/>
        <w:spacing w:before="0" w:line="240" w:lineRule="auto"/>
        <w:ind w:left="0"/>
        <w:rPr>
          <w:sz w:val="22"/>
          <w:szCs w:val="22"/>
        </w:rPr>
      </w:pPr>
    </w:p>
    <w:p w:rsidR="00FE5F92" w:rsidRDefault="00FE5F92" w:rsidP="00FE5F92">
      <w:pPr>
        <w:pStyle w:val="Bodycopy"/>
        <w:spacing w:before="120" w:line="240" w:lineRule="auto"/>
        <w:ind w:left="0"/>
        <w:rPr>
          <w:sz w:val="22"/>
          <w:szCs w:val="22"/>
        </w:rPr>
      </w:pPr>
      <w:r w:rsidRPr="00B16357">
        <w:rPr>
          <w:sz w:val="22"/>
          <w:szCs w:val="22"/>
        </w:rPr>
        <w:t xml:space="preserve">Questions on formal Insolvency Practice may also include requirements to carry out the same sorts of analyses as are described above in the previous section of the syllabus on non-formal Insolvency Practice. </w:t>
      </w:r>
    </w:p>
    <w:p w:rsidR="00FE5F92" w:rsidRDefault="00FE5F92" w:rsidP="00FE5F92">
      <w:pPr>
        <w:pStyle w:val="Bodycopy"/>
        <w:spacing w:before="0" w:line="240" w:lineRule="auto"/>
        <w:ind w:left="0"/>
        <w:rPr>
          <w:sz w:val="22"/>
          <w:szCs w:val="22"/>
        </w:rPr>
      </w:pPr>
    </w:p>
    <w:p w:rsidR="008B34C3" w:rsidRPr="00B16357" w:rsidRDefault="008B34C3" w:rsidP="00FE5F92">
      <w:pPr>
        <w:pStyle w:val="Bodycopy"/>
        <w:spacing w:before="0" w:line="240" w:lineRule="auto"/>
        <w:ind w:left="0"/>
        <w:rPr>
          <w:sz w:val="22"/>
          <w:szCs w:val="22"/>
        </w:rPr>
      </w:pPr>
    </w:p>
    <w:p w:rsidR="00FE5F92" w:rsidRDefault="00FE5F92" w:rsidP="00FE5F92">
      <w:pPr>
        <w:pStyle w:val="Subhead2"/>
        <w:spacing w:before="0" w:line="240" w:lineRule="auto"/>
        <w:ind w:left="1134" w:hanging="1134"/>
        <w:outlineLvl w:val="0"/>
        <w:rPr>
          <w:sz w:val="22"/>
          <w:szCs w:val="22"/>
        </w:rPr>
      </w:pPr>
      <w:r w:rsidRPr="001600A3">
        <w:rPr>
          <w:sz w:val="22"/>
          <w:szCs w:val="22"/>
        </w:rPr>
        <w:t>Case Management</w:t>
      </w:r>
    </w:p>
    <w:p w:rsidR="00FE5F92" w:rsidRPr="00FE5F92" w:rsidRDefault="00FE5F92" w:rsidP="00FE5F92">
      <w:pPr>
        <w:pStyle w:val="Bodycopy"/>
        <w:spacing w:before="0" w:line="240" w:lineRule="auto"/>
      </w:pPr>
    </w:p>
    <w:p w:rsidR="00FE5F92" w:rsidRDefault="00FE5F92" w:rsidP="00FE5F92">
      <w:pPr>
        <w:pStyle w:val="Bodycopy"/>
        <w:spacing w:before="120" w:line="240" w:lineRule="auto"/>
        <w:ind w:left="0"/>
        <w:rPr>
          <w:sz w:val="22"/>
          <w:szCs w:val="22"/>
        </w:rPr>
      </w:pPr>
      <w:r w:rsidRPr="00B16357">
        <w:rPr>
          <w:sz w:val="22"/>
          <w:szCs w:val="22"/>
        </w:rPr>
        <w:t>The following learning outcomes refer to any appointment as an office holder under relevant legislation.</w:t>
      </w:r>
    </w:p>
    <w:p w:rsidR="00FE5F92" w:rsidRPr="00B16357" w:rsidRDefault="00FE5F92" w:rsidP="00FE5F92">
      <w:pPr>
        <w:pStyle w:val="Bodycopy"/>
        <w:spacing w:before="0" w:line="240" w:lineRule="auto"/>
        <w:ind w:left="0"/>
        <w:rPr>
          <w:sz w:val="22"/>
          <w:szCs w:val="22"/>
        </w:rPr>
      </w:pPr>
    </w:p>
    <w:p w:rsidR="00FE5F92" w:rsidRDefault="00FE5F92" w:rsidP="00FE5F92">
      <w:pPr>
        <w:pStyle w:val="Numberedparagraph"/>
        <w:spacing w:before="120" w:line="240" w:lineRule="auto"/>
        <w:rPr>
          <w:sz w:val="22"/>
          <w:szCs w:val="22"/>
        </w:rPr>
      </w:pPr>
      <w:r w:rsidRPr="00B16357">
        <w:rPr>
          <w:sz w:val="22"/>
          <w:szCs w:val="22"/>
        </w:rPr>
        <w:t>Candidates should be able to</w:t>
      </w:r>
    </w:p>
    <w:p w:rsidR="00FE5F92" w:rsidRDefault="00FE5F92" w:rsidP="00FE5F92">
      <w:pPr>
        <w:pStyle w:val="Numberedparagraph"/>
        <w:spacing w:before="0" w:line="240" w:lineRule="auto"/>
        <w:rPr>
          <w:sz w:val="22"/>
          <w:szCs w:val="22"/>
        </w:rPr>
      </w:pPr>
    </w:p>
    <w:p w:rsidR="00FE5F92" w:rsidRDefault="00FE5F92" w:rsidP="00FE5F92">
      <w:pPr>
        <w:pStyle w:val="Numberedparagraph"/>
        <w:spacing w:before="120" w:line="240" w:lineRule="auto"/>
        <w:ind w:left="567" w:hanging="567"/>
        <w:rPr>
          <w:sz w:val="22"/>
          <w:szCs w:val="22"/>
        </w:rPr>
      </w:pPr>
      <w:r>
        <w:rPr>
          <w:sz w:val="22"/>
          <w:szCs w:val="22"/>
        </w:rPr>
        <w:t>9.</w:t>
      </w:r>
      <w:r>
        <w:rPr>
          <w:sz w:val="22"/>
          <w:szCs w:val="22"/>
        </w:rPr>
        <w:tab/>
      </w:r>
      <w:r w:rsidRPr="00B16357">
        <w:rPr>
          <w:sz w:val="22"/>
          <w:szCs w:val="22"/>
        </w:rPr>
        <w:t>identify legal, regulatory and ethical considerations affecting the appointment as office holder, and also practical considerations (e</w:t>
      </w:r>
      <w:r w:rsidR="005C4C66">
        <w:rPr>
          <w:sz w:val="22"/>
          <w:szCs w:val="22"/>
        </w:rPr>
        <w:t>.</w:t>
      </w:r>
      <w:r w:rsidRPr="00B16357">
        <w:rPr>
          <w:sz w:val="22"/>
          <w:szCs w:val="22"/>
        </w:rPr>
        <w:t>g</w:t>
      </w:r>
      <w:r w:rsidR="005C4C66">
        <w:rPr>
          <w:sz w:val="22"/>
          <w:szCs w:val="22"/>
        </w:rPr>
        <w:t>.</w:t>
      </w:r>
      <w:r w:rsidRPr="00B16357">
        <w:rPr>
          <w:sz w:val="22"/>
          <w:szCs w:val="22"/>
        </w:rPr>
        <w:t xml:space="preserve"> staffing levels, relevant experience, and qualifications) to determine whether the appointment can be accepted.</w:t>
      </w:r>
    </w:p>
    <w:p w:rsidR="001076E6" w:rsidRDefault="001076E6" w:rsidP="00FE5F92">
      <w:pPr>
        <w:pStyle w:val="Numberedparagraph"/>
        <w:spacing w:before="120" w:line="240" w:lineRule="auto"/>
        <w:ind w:left="567" w:hanging="567"/>
        <w:rPr>
          <w:sz w:val="22"/>
          <w:szCs w:val="22"/>
        </w:rPr>
      </w:pPr>
    </w:p>
    <w:p w:rsidR="00FE5F92" w:rsidRDefault="00FE5F92" w:rsidP="00FE5F92">
      <w:pPr>
        <w:pStyle w:val="Numberedparagraph"/>
        <w:spacing w:before="120" w:line="240" w:lineRule="auto"/>
        <w:ind w:left="567" w:hanging="567"/>
        <w:rPr>
          <w:sz w:val="22"/>
          <w:szCs w:val="22"/>
        </w:rPr>
      </w:pPr>
      <w:r>
        <w:rPr>
          <w:sz w:val="22"/>
          <w:szCs w:val="22"/>
        </w:rPr>
        <w:t>10.</w:t>
      </w:r>
      <w:r>
        <w:rPr>
          <w:sz w:val="22"/>
          <w:szCs w:val="22"/>
        </w:rPr>
        <w:tab/>
      </w:r>
      <w:r w:rsidRPr="00B16357">
        <w:rPr>
          <w:sz w:val="22"/>
          <w:szCs w:val="22"/>
        </w:rPr>
        <w:t>manage the statutory, regulatory and contractual procedures required to institute, progress and close the relevant insolvency procedure, including</w:t>
      </w:r>
    </w:p>
    <w:p w:rsidR="008B34C3" w:rsidRDefault="008B34C3" w:rsidP="008B34C3">
      <w:pPr>
        <w:pStyle w:val="Numberedparagraph"/>
        <w:spacing w:before="0" w:line="240" w:lineRule="auto"/>
        <w:ind w:left="567" w:hanging="567"/>
        <w:rPr>
          <w:sz w:val="22"/>
          <w:szCs w:val="22"/>
        </w:rPr>
      </w:pPr>
    </w:p>
    <w:p w:rsidR="00FE5F92" w:rsidRPr="00B16357" w:rsidRDefault="00FE5F92" w:rsidP="00835008">
      <w:pPr>
        <w:pStyle w:val="Numberedparagraph"/>
        <w:numPr>
          <w:ilvl w:val="3"/>
          <w:numId w:val="4"/>
        </w:numPr>
        <w:tabs>
          <w:tab w:val="clear" w:pos="3696"/>
        </w:tabs>
        <w:spacing w:before="120" w:line="240" w:lineRule="auto"/>
        <w:ind w:left="1418" w:hanging="851"/>
        <w:rPr>
          <w:sz w:val="22"/>
          <w:szCs w:val="22"/>
        </w:rPr>
      </w:pPr>
      <w:r>
        <w:rPr>
          <w:sz w:val="22"/>
          <w:szCs w:val="22"/>
        </w:rPr>
        <w:tab/>
      </w:r>
      <w:r w:rsidRPr="00B16357">
        <w:rPr>
          <w:sz w:val="22"/>
          <w:szCs w:val="22"/>
        </w:rPr>
        <w:t>establishing and maintaining files, including Insolvency Practitioner Records</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tab/>
      </w:r>
      <w:r w:rsidRPr="00B16357">
        <w:rPr>
          <w:sz w:val="22"/>
          <w:szCs w:val="22"/>
        </w:rPr>
        <w:t>appointment to the office</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tab/>
      </w:r>
      <w:r w:rsidRPr="00B16357">
        <w:rPr>
          <w:sz w:val="22"/>
          <w:szCs w:val="22"/>
        </w:rPr>
        <w:t>obtaining bonding and insurance</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lastRenderedPageBreak/>
        <w:tab/>
      </w:r>
      <w:r w:rsidRPr="00B16357">
        <w:rPr>
          <w:sz w:val="22"/>
          <w:szCs w:val="22"/>
        </w:rPr>
        <w:t>calling and holding statutory meetings of relevant participants as required, including initial, general and final meetings</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tab/>
      </w:r>
      <w:r w:rsidRPr="00B16357">
        <w:rPr>
          <w:sz w:val="22"/>
          <w:szCs w:val="22"/>
        </w:rPr>
        <w:t>banking, managing and disbursing funds</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tab/>
      </w:r>
      <w:r w:rsidRPr="00B16357">
        <w:rPr>
          <w:sz w:val="22"/>
          <w:szCs w:val="22"/>
        </w:rPr>
        <w:t xml:space="preserve">obtaining sanction for specific actions, as required from creditors (or the relevant committee/s), the court, or the Official Receiver </w:t>
      </w:r>
    </w:p>
    <w:p w:rsidR="00FE5F92" w:rsidRPr="00B16357" w:rsidRDefault="00FE5F92" w:rsidP="00835008">
      <w:pPr>
        <w:pStyle w:val="Numberedparagraph"/>
        <w:numPr>
          <w:ilvl w:val="1"/>
          <w:numId w:val="4"/>
        </w:numPr>
        <w:tabs>
          <w:tab w:val="clear" w:pos="2256"/>
        </w:tabs>
        <w:spacing w:before="120" w:line="240" w:lineRule="auto"/>
        <w:ind w:left="1418" w:hanging="851"/>
        <w:rPr>
          <w:sz w:val="22"/>
          <w:szCs w:val="22"/>
        </w:rPr>
      </w:pPr>
      <w:r>
        <w:rPr>
          <w:sz w:val="22"/>
          <w:szCs w:val="22"/>
        </w:rPr>
        <w:tab/>
      </w:r>
      <w:r w:rsidRPr="00B16357">
        <w:rPr>
          <w:sz w:val="22"/>
          <w:szCs w:val="22"/>
        </w:rPr>
        <w:t>ceasing to act and release from office.</w:t>
      </w:r>
    </w:p>
    <w:p w:rsidR="00FE5F92" w:rsidRDefault="00FE5F92" w:rsidP="00FE5F92">
      <w:pPr>
        <w:pStyle w:val="Numberedparagraph"/>
        <w:spacing w:before="0" w:line="240" w:lineRule="auto"/>
        <w:ind w:left="567" w:hanging="567"/>
        <w:rPr>
          <w:sz w:val="22"/>
          <w:szCs w:val="22"/>
        </w:rPr>
      </w:pPr>
    </w:p>
    <w:p w:rsidR="00FE5F92" w:rsidRDefault="00FE5F92" w:rsidP="00FE5F92">
      <w:pPr>
        <w:pStyle w:val="Numberedparagraph"/>
        <w:spacing w:before="120" w:line="240" w:lineRule="auto"/>
        <w:ind w:left="567" w:hanging="567"/>
        <w:rPr>
          <w:sz w:val="22"/>
          <w:szCs w:val="22"/>
        </w:rPr>
      </w:pPr>
      <w:r>
        <w:rPr>
          <w:sz w:val="22"/>
          <w:szCs w:val="22"/>
        </w:rPr>
        <w:t>11.</w:t>
      </w:r>
      <w:r>
        <w:rPr>
          <w:sz w:val="22"/>
          <w:szCs w:val="22"/>
        </w:rPr>
        <w:tab/>
      </w:r>
      <w:r w:rsidRPr="00B16357">
        <w:rPr>
          <w:sz w:val="22"/>
          <w:szCs w:val="22"/>
        </w:rPr>
        <w:t>prepare and file the relevant notices, reports and returns required by the office, including to</w:t>
      </w:r>
    </w:p>
    <w:p w:rsidR="00FE5F92" w:rsidRPr="00B16357" w:rsidRDefault="00FE5F92" w:rsidP="00FE5F92">
      <w:pPr>
        <w:pStyle w:val="Numberedparagraph"/>
        <w:spacing w:before="0" w:line="240" w:lineRule="auto"/>
        <w:ind w:left="567" w:hanging="567"/>
        <w:rPr>
          <w:sz w:val="22"/>
          <w:szCs w:val="22"/>
        </w:rPr>
      </w:pP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insolvent entity</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creditors</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members</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HM Revenue and Customs</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 xml:space="preserve">the Secretary of State for </w:t>
      </w:r>
      <w:r w:rsidR="0036782F">
        <w:rPr>
          <w:sz w:val="22"/>
          <w:szCs w:val="22"/>
        </w:rPr>
        <w:t>Business, Innovation</w:t>
      </w:r>
      <w:r w:rsidR="000D30D4">
        <w:rPr>
          <w:sz w:val="22"/>
          <w:szCs w:val="22"/>
        </w:rPr>
        <w:t xml:space="preserve"> and Skills</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 xml:space="preserve">Companies House </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London Gazette</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relevant court</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Serious Organised Crime Agency</w:t>
      </w:r>
    </w:p>
    <w:p w:rsidR="00FE5F92" w:rsidRPr="00B16357"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office holder’s authorising body</w:t>
      </w:r>
    </w:p>
    <w:p w:rsidR="00FE5F92"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16357">
        <w:rPr>
          <w:sz w:val="22"/>
          <w:szCs w:val="22"/>
        </w:rPr>
        <w:t>the Pension Protection Fund, the Pensions Regulator, and the trustees or managers of the pension scheme.</w:t>
      </w:r>
    </w:p>
    <w:p w:rsidR="00FE5F92" w:rsidRDefault="00FE5F92" w:rsidP="00FE5F92">
      <w:pPr>
        <w:pStyle w:val="Numberedparagraph"/>
        <w:spacing w:before="0" w:line="240" w:lineRule="auto"/>
        <w:rPr>
          <w:sz w:val="22"/>
          <w:szCs w:val="22"/>
        </w:rPr>
      </w:pPr>
    </w:p>
    <w:p w:rsidR="008B34C3" w:rsidRPr="00B16357" w:rsidRDefault="008B34C3" w:rsidP="00FE5F92">
      <w:pPr>
        <w:pStyle w:val="Numberedparagraph"/>
        <w:spacing w:before="0" w:line="240" w:lineRule="auto"/>
        <w:rPr>
          <w:sz w:val="22"/>
          <w:szCs w:val="22"/>
        </w:rPr>
      </w:pPr>
    </w:p>
    <w:p w:rsidR="00FE5F92" w:rsidRDefault="00FE5F92" w:rsidP="00FE5F92">
      <w:pPr>
        <w:pStyle w:val="Subhead2"/>
        <w:spacing w:before="0" w:line="240" w:lineRule="auto"/>
        <w:ind w:left="0"/>
        <w:outlineLvl w:val="0"/>
        <w:rPr>
          <w:sz w:val="22"/>
          <w:szCs w:val="22"/>
        </w:rPr>
      </w:pPr>
      <w:r w:rsidRPr="001600A3">
        <w:rPr>
          <w:sz w:val="22"/>
          <w:szCs w:val="22"/>
        </w:rPr>
        <w:t xml:space="preserve">Case Strategy </w:t>
      </w:r>
    </w:p>
    <w:p w:rsidR="00FE5F92" w:rsidRPr="00FE5F92" w:rsidRDefault="00FE5F92" w:rsidP="00FE5F92">
      <w:pPr>
        <w:pStyle w:val="Bodycopy"/>
        <w:spacing w:before="0" w:line="240" w:lineRule="auto"/>
        <w:ind w:left="2274"/>
      </w:pPr>
    </w:p>
    <w:p w:rsidR="00FE5F92" w:rsidRDefault="00FE5F92" w:rsidP="00556BEB">
      <w:pPr>
        <w:pStyle w:val="Bodycopy"/>
        <w:spacing w:before="120" w:line="240" w:lineRule="auto"/>
        <w:ind w:left="0"/>
        <w:rPr>
          <w:sz w:val="22"/>
          <w:szCs w:val="22"/>
        </w:rPr>
      </w:pPr>
      <w:r w:rsidRPr="00B16357">
        <w:rPr>
          <w:sz w:val="22"/>
          <w:szCs w:val="22"/>
        </w:rPr>
        <w:t>The following learning outcomes refer to the overall strategies, which will guide the office holder’s actions to optimise the result.</w:t>
      </w:r>
    </w:p>
    <w:p w:rsidR="00FE5F92" w:rsidRPr="00B16357" w:rsidRDefault="00FE5F92" w:rsidP="00FE5F92">
      <w:pPr>
        <w:pStyle w:val="Bodycopy"/>
        <w:spacing w:before="0" w:line="240" w:lineRule="auto"/>
        <w:ind w:left="0"/>
        <w:rPr>
          <w:sz w:val="22"/>
          <w:szCs w:val="22"/>
        </w:rPr>
      </w:pPr>
    </w:p>
    <w:p w:rsidR="00FE5F92" w:rsidRDefault="00FE5F92" w:rsidP="00556BEB">
      <w:pPr>
        <w:pStyle w:val="Numberedparagraph"/>
        <w:spacing w:before="120" w:line="240" w:lineRule="auto"/>
        <w:rPr>
          <w:sz w:val="22"/>
          <w:szCs w:val="22"/>
        </w:rPr>
      </w:pPr>
      <w:r w:rsidRPr="00B16357">
        <w:rPr>
          <w:sz w:val="22"/>
          <w:szCs w:val="22"/>
        </w:rPr>
        <w:t>Candidates should be able to</w:t>
      </w:r>
    </w:p>
    <w:p w:rsidR="00FE5F92" w:rsidRDefault="00FE5F92" w:rsidP="00FE5F92">
      <w:pPr>
        <w:pStyle w:val="Numberedparagraph"/>
        <w:spacing w:before="0" w:line="240" w:lineRule="auto"/>
        <w:rPr>
          <w:sz w:val="22"/>
          <w:szCs w:val="22"/>
        </w:rPr>
      </w:pPr>
    </w:p>
    <w:p w:rsidR="00FE5F92" w:rsidRDefault="00FE5F92" w:rsidP="00556BEB">
      <w:pPr>
        <w:pStyle w:val="Numberedparagraph"/>
        <w:spacing w:before="120" w:line="240" w:lineRule="auto"/>
        <w:ind w:left="567" w:hanging="567"/>
        <w:rPr>
          <w:sz w:val="22"/>
          <w:szCs w:val="22"/>
        </w:rPr>
      </w:pPr>
      <w:r>
        <w:rPr>
          <w:sz w:val="22"/>
          <w:szCs w:val="22"/>
        </w:rPr>
        <w:t>12.</w:t>
      </w:r>
      <w:r>
        <w:rPr>
          <w:sz w:val="22"/>
          <w:szCs w:val="22"/>
        </w:rPr>
        <w:tab/>
      </w:r>
      <w:r w:rsidRPr="00B16357">
        <w:rPr>
          <w:sz w:val="22"/>
          <w:szCs w:val="22"/>
        </w:rPr>
        <w:t xml:space="preserve">identify whether the optimum result is more likely to be achieved by </w:t>
      </w:r>
    </w:p>
    <w:p w:rsidR="00FE5F92" w:rsidRPr="00B16357" w:rsidRDefault="00FE5F92" w:rsidP="00FE5F92">
      <w:pPr>
        <w:pStyle w:val="Numberedparagraph"/>
        <w:spacing w:before="0" w:line="240" w:lineRule="auto"/>
        <w:ind w:left="567" w:hanging="567"/>
        <w:rPr>
          <w:sz w:val="22"/>
          <w:szCs w:val="22"/>
        </w:rPr>
      </w:pPr>
    </w:p>
    <w:p w:rsidR="00FE5F92" w:rsidRDefault="00FE5F92" w:rsidP="00556BEB">
      <w:pPr>
        <w:pStyle w:val="Numberedparagraph"/>
        <w:numPr>
          <w:ilvl w:val="0"/>
          <w:numId w:val="8"/>
        </w:numPr>
        <w:tabs>
          <w:tab w:val="clear" w:pos="2520"/>
        </w:tabs>
        <w:spacing w:before="120" w:line="240" w:lineRule="auto"/>
        <w:ind w:left="1077" w:hanging="510"/>
        <w:rPr>
          <w:sz w:val="22"/>
          <w:szCs w:val="22"/>
        </w:rPr>
      </w:pPr>
      <w:r>
        <w:rPr>
          <w:sz w:val="22"/>
          <w:szCs w:val="22"/>
        </w:rPr>
        <w:tab/>
      </w:r>
      <w:r w:rsidRPr="00B16357">
        <w:rPr>
          <w:sz w:val="22"/>
          <w:szCs w:val="22"/>
        </w:rPr>
        <w:t xml:space="preserve">a formal procedure that involves disposals of assets </w:t>
      </w:r>
    </w:p>
    <w:p w:rsidR="00556BEB" w:rsidRPr="00B16357" w:rsidRDefault="00556BEB" w:rsidP="00556BEB">
      <w:pPr>
        <w:pStyle w:val="Numberedparagraph"/>
        <w:spacing w:before="0" w:line="240" w:lineRule="auto"/>
        <w:ind w:left="567"/>
        <w:rPr>
          <w:sz w:val="22"/>
          <w:szCs w:val="22"/>
        </w:rPr>
      </w:pPr>
    </w:p>
    <w:p w:rsidR="00FE5F92" w:rsidRDefault="00FE5F92" w:rsidP="00556BEB">
      <w:pPr>
        <w:pStyle w:val="Numberedparagraph"/>
        <w:spacing w:before="120" w:line="240" w:lineRule="auto"/>
        <w:ind w:left="567" w:hanging="567"/>
        <w:rPr>
          <w:sz w:val="22"/>
          <w:szCs w:val="22"/>
        </w:rPr>
      </w:pPr>
      <w:r>
        <w:rPr>
          <w:sz w:val="22"/>
          <w:szCs w:val="22"/>
        </w:rPr>
        <w:tab/>
      </w:r>
      <w:r w:rsidRPr="00B16357">
        <w:rPr>
          <w:sz w:val="22"/>
          <w:szCs w:val="22"/>
        </w:rPr>
        <w:t xml:space="preserve">and/or </w:t>
      </w:r>
    </w:p>
    <w:p w:rsidR="00556BEB" w:rsidRPr="00B16357" w:rsidRDefault="00556BEB" w:rsidP="00FE5F92">
      <w:pPr>
        <w:pStyle w:val="Numberedparagraph"/>
        <w:spacing w:before="0" w:line="240" w:lineRule="auto"/>
        <w:ind w:left="567" w:hanging="567"/>
        <w:rPr>
          <w:sz w:val="22"/>
          <w:szCs w:val="22"/>
        </w:rPr>
      </w:pPr>
    </w:p>
    <w:p w:rsidR="00FE5F92" w:rsidRDefault="00FE5F92" w:rsidP="00835008">
      <w:pPr>
        <w:pStyle w:val="Numberedparagraph"/>
        <w:numPr>
          <w:ilvl w:val="0"/>
          <w:numId w:val="5"/>
        </w:numPr>
        <w:tabs>
          <w:tab w:val="clear" w:pos="3014"/>
        </w:tabs>
        <w:spacing w:before="120" w:line="240" w:lineRule="auto"/>
        <w:ind w:left="1418" w:hanging="851"/>
        <w:rPr>
          <w:sz w:val="22"/>
          <w:szCs w:val="22"/>
        </w:rPr>
      </w:pPr>
      <w:r>
        <w:rPr>
          <w:sz w:val="22"/>
          <w:szCs w:val="22"/>
        </w:rPr>
        <w:tab/>
      </w:r>
      <w:r w:rsidRPr="00B16357">
        <w:rPr>
          <w:sz w:val="22"/>
          <w:szCs w:val="22"/>
        </w:rPr>
        <w:t>a formal procedure not involving disposals but which may include, for example, voluntary contributions, debt rescheduling and/or debt restructuring</w:t>
      </w:r>
      <w:r>
        <w:rPr>
          <w:sz w:val="22"/>
          <w:szCs w:val="22"/>
        </w:rPr>
        <w:t xml:space="preserve">. </w:t>
      </w:r>
    </w:p>
    <w:p w:rsidR="00FE5F92" w:rsidRDefault="00FE5F92" w:rsidP="00556BEB">
      <w:pPr>
        <w:pStyle w:val="Numberedparagraph"/>
        <w:spacing w:before="120" w:line="240" w:lineRule="auto"/>
        <w:ind w:left="567" w:hanging="567"/>
        <w:rPr>
          <w:sz w:val="22"/>
          <w:szCs w:val="22"/>
        </w:rPr>
      </w:pPr>
      <w:r>
        <w:rPr>
          <w:sz w:val="22"/>
          <w:szCs w:val="22"/>
        </w:rPr>
        <w:t>13.</w:t>
      </w:r>
      <w:r>
        <w:rPr>
          <w:sz w:val="22"/>
          <w:szCs w:val="22"/>
        </w:rPr>
        <w:tab/>
        <w:t>i</w:t>
      </w:r>
      <w:r w:rsidRPr="00B16357">
        <w:rPr>
          <w:sz w:val="22"/>
          <w:szCs w:val="22"/>
        </w:rPr>
        <w:t>dentify</w:t>
      </w:r>
      <w:r>
        <w:rPr>
          <w:sz w:val="22"/>
          <w:szCs w:val="22"/>
        </w:rPr>
        <w:t>, where appropriate,</w:t>
      </w:r>
      <w:r w:rsidRPr="00B16357">
        <w:rPr>
          <w:sz w:val="22"/>
          <w:szCs w:val="22"/>
        </w:rPr>
        <w:t xml:space="preserve"> the overall strategy that is likely to optimise realisations by means of disposals, which strategy may include </w:t>
      </w:r>
    </w:p>
    <w:p w:rsidR="00556BEB" w:rsidRPr="00B16357" w:rsidRDefault="00556BEB" w:rsidP="00FE5F92">
      <w:pPr>
        <w:pStyle w:val="Numberedparagraph"/>
        <w:spacing w:before="0" w:line="240" w:lineRule="auto"/>
        <w:ind w:left="567" w:hanging="567"/>
        <w:rPr>
          <w:sz w:val="22"/>
          <w:szCs w:val="22"/>
        </w:rPr>
      </w:pPr>
    </w:p>
    <w:p w:rsidR="00FE5F92" w:rsidRDefault="00FE5F92" w:rsidP="00556BEB">
      <w:pPr>
        <w:pStyle w:val="Numberedparagraph"/>
        <w:numPr>
          <w:ilvl w:val="0"/>
          <w:numId w:val="5"/>
        </w:numPr>
        <w:tabs>
          <w:tab w:val="clear" w:pos="3014"/>
        </w:tabs>
        <w:spacing w:before="120" w:line="240" w:lineRule="auto"/>
        <w:ind w:left="1077" w:hanging="510"/>
        <w:rPr>
          <w:sz w:val="22"/>
          <w:szCs w:val="22"/>
        </w:rPr>
      </w:pPr>
      <w:r>
        <w:rPr>
          <w:sz w:val="22"/>
          <w:szCs w:val="22"/>
        </w:rPr>
        <w:tab/>
      </w:r>
      <w:r w:rsidRPr="00B16357">
        <w:rPr>
          <w:sz w:val="22"/>
          <w:szCs w:val="22"/>
        </w:rPr>
        <w:t>continued trading</w:t>
      </w:r>
    </w:p>
    <w:p w:rsidR="00556BEB" w:rsidRPr="00B16357" w:rsidRDefault="00556BEB" w:rsidP="00556BEB">
      <w:pPr>
        <w:pStyle w:val="Numberedparagraph"/>
        <w:spacing w:before="0" w:line="240" w:lineRule="auto"/>
        <w:ind w:left="567"/>
        <w:rPr>
          <w:sz w:val="22"/>
          <w:szCs w:val="22"/>
        </w:rPr>
      </w:pPr>
    </w:p>
    <w:p w:rsidR="00FE5F92" w:rsidRDefault="00FE5F92" w:rsidP="00556BEB">
      <w:pPr>
        <w:pStyle w:val="Numberedparagraph"/>
        <w:spacing w:before="120" w:line="240" w:lineRule="auto"/>
        <w:ind w:left="992" w:hanging="425"/>
        <w:rPr>
          <w:sz w:val="22"/>
          <w:szCs w:val="22"/>
        </w:rPr>
      </w:pPr>
      <w:r w:rsidRPr="00BA230B">
        <w:rPr>
          <w:sz w:val="22"/>
          <w:szCs w:val="22"/>
        </w:rPr>
        <w:lastRenderedPageBreak/>
        <w:t>and/or</w:t>
      </w:r>
    </w:p>
    <w:p w:rsidR="00556BEB" w:rsidRPr="00BA230B" w:rsidRDefault="00556BEB" w:rsidP="00FE5F92">
      <w:pPr>
        <w:pStyle w:val="Numberedparagraph"/>
        <w:spacing w:before="0" w:line="240" w:lineRule="auto"/>
        <w:ind w:left="993" w:hanging="426"/>
        <w:rPr>
          <w:sz w:val="22"/>
          <w:szCs w:val="22"/>
        </w:rPr>
      </w:pPr>
    </w:p>
    <w:p w:rsidR="00FE5F92" w:rsidRDefault="00FE5F92" w:rsidP="00556BEB">
      <w:pPr>
        <w:pStyle w:val="Numberedparagraph"/>
        <w:numPr>
          <w:ilvl w:val="0"/>
          <w:numId w:val="5"/>
        </w:numPr>
        <w:tabs>
          <w:tab w:val="clear" w:pos="3014"/>
        </w:tabs>
        <w:spacing w:before="120" w:line="240" w:lineRule="auto"/>
        <w:ind w:left="1077" w:hanging="510"/>
        <w:rPr>
          <w:sz w:val="22"/>
          <w:szCs w:val="22"/>
        </w:rPr>
      </w:pPr>
      <w:r>
        <w:rPr>
          <w:sz w:val="22"/>
          <w:szCs w:val="22"/>
        </w:rPr>
        <w:tab/>
      </w:r>
      <w:r w:rsidRPr="00BA230B">
        <w:rPr>
          <w:sz w:val="22"/>
          <w:szCs w:val="22"/>
        </w:rPr>
        <w:t>the sale of assets (either as a whole or piecemeal).</w:t>
      </w:r>
    </w:p>
    <w:p w:rsidR="00556BEB" w:rsidRPr="00BA230B" w:rsidRDefault="00556BEB" w:rsidP="00556BEB">
      <w:pPr>
        <w:pStyle w:val="Numberedparagraph"/>
        <w:spacing w:before="0" w:line="240" w:lineRule="auto"/>
        <w:ind w:left="567"/>
        <w:rPr>
          <w:sz w:val="22"/>
          <w:szCs w:val="22"/>
        </w:rPr>
      </w:pPr>
    </w:p>
    <w:p w:rsidR="00FE5F92" w:rsidRDefault="00FE5F92" w:rsidP="00556BEB">
      <w:pPr>
        <w:pStyle w:val="Numberedparagraph"/>
        <w:spacing w:before="120" w:line="240" w:lineRule="auto"/>
        <w:ind w:left="567" w:hanging="567"/>
        <w:rPr>
          <w:sz w:val="22"/>
          <w:szCs w:val="22"/>
        </w:rPr>
      </w:pPr>
      <w:r>
        <w:rPr>
          <w:sz w:val="22"/>
          <w:szCs w:val="22"/>
        </w:rPr>
        <w:t>14.</w:t>
      </w:r>
      <w:r>
        <w:rPr>
          <w:sz w:val="22"/>
          <w:szCs w:val="22"/>
        </w:rPr>
        <w:tab/>
      </w:r>
      <w:r w:rsidRPr="00BA230B">
        <w:rPr>
          <w:sz w:val="22"/>
          <w:szCs w:val="22"/>
        </w:rPr>
        <w:t>take into account</w:t>
      </w:r>
      <w:r>
        <w:rPr>
          <w:sz w:val="22"/>
          <w:szCs w:val="22"/>
        </w:rPr>
        <w:t>, w</w:t>
      </w:r>
      <w:r w:rsidRPr="00BA230B">
        <w:rPr>
          <w:sz w:val="22"/>
          <w:szCs w:val="22"/>
        </w:rPr>
        <w:t xml:space="preserve">hen determining the most appropriate strategy, </w:t>
      </w:r>
    </w:p>
    <w:p w:rsidR="00556BEB" w:rsidRDefault="00556BEB" w:rsidP="00FE5F92">
      <w:pPr>
        <w:pStyle w:val="Numberedparagraph"/>
        <w:spacing w:before="0" w:line="240" w:lineRule="auto"/>
        <w:ind w:left="567" w:hanging="567"/>
        <w:rPr>
          <w:sz w:val="22"/>
          <w:szCs w:val="22"/>
        </w:rPr>
      </w:pPr>
    </w:p>
    <w:p w:rsidR="00556BEB" w:rsidRPr="00BA230B" w:rsidRDefault="00FE5F92" w:rsidP="00835008">
      <w:pPr>
        <w:pStyle w:val="Numberedparagraph"/>
        <w:numPr>
          <w:ilvl w:val="1"/>
          <w:numId w:val="5"/>
        </w:numPr>
        <w:tabs>
          <w:tab w:val="clear" w:pos="3734"/>
        </w:tabs>
        <w:spacing w:before="120" w:line="240" w:lineRule="auto"/>
        <w:ind w:left="1418" w:hanging="851"/>
        <w:rPr>
          <w:sz w:val="22"/>
          <w:szCs w:val="22"/>
        </w:rPr>
      </w:pPr>
      <w:r>
        <w:rPr>
          <w:sz w:val="22"/>
          <w:szCs w:val="22"/>
        </w:rPr>
        <w:tab/>
      </w:r>
      <w:r w:rsidRPr="00BA230B">
        <w:rPr>
          <w:sz w:val="22"/>
          <w:szCs w:val="22"/>
        </w:rPr>
        <w:t>the taxation implications of the different possible strategies</w:t>
      </w:r>
    </w:p>
    <w:p w:rsidR="00FE5F92" w:rsidRDefault="00FE5F92" w:rsidP="00835008">
      <w:pPr>
        <w:pStyle w:val="Numberedparagraph"/>
        <w:numPr>
          <w:ilvl w:val="0"/>
          <w:numId w:val="4"/>
        </w:numPr>
        <w:tabs>
          <w:tab w:val="clear" w:pos="2877"/>
        </w:tabs>
        <w:spacing w:before="120" w:line="240" w:lineRule="auto"/>
        <w:ind w:left="1418" w:hanging="851"/>
        <w:rPr>
          <w:sz w:val="22"/>
          <w:szCs w:val="22"/>
        </w:rPr>
      </w:pPr>
      <w:r>
        <w:rPr>
          <w:sz w:val="22"/>
          <w:szCs w:val="22"/>
        </w:rPr>
        <w:tab/>
      </w:r>
      <w:r w:rsidRPr="00BA230B">
        <w:rPr>
          <w:sz w:val="22"/>
          <w:szCs w:val="22"/>
        </w:rPr>
        <w:t>the possible effects of interactions between concurrent and/or consecutive procedures.</w:t>
      </w:r>
    </w:p>
    <w:p w:rsidR="00556BEB" w:rsidRPr="00BA230B" w:rsidRDefault="00556BEB" w:rsidP="00556BEB">
      <w:pPr>
        <w:pStyle w:val="Numberedparagraph"/>
        <w:spacing w:before="0" w:line="240" w:lineRule="auto"/>
        <w:ind w:left="567"/>
        <w:rPr>
          <w:sz w:val="22"/>
          <w:szCs w:val="22"/>
        </w:rPr>
      </w:pPr>
    </w:p>
    <w:p w:rsidR="00FE5F92" w:rsidRDefault="00FE5F92" w:rsidP="00556BEB">
      <w:pPr>
        <w:pStyle w:val="Numberedparagraph"/>
        <w:spacing w:before="120" w:line="240" w:lineRule="auto"/>
        <w:ind w:left="567" w:hanging="567"/>
        <w:rPr>
          <w:sz w:val="22"/>
          <w:szCs w:val="22"/>
        </w:rPr>
      </w:pPr>
      <w:r>
        <w:rPr>
          <w:sz w:val="22"/>
          <w:szCs w:val="22"/>
        </w:rPr>
        <w:t>15.</w:t>
      </w:r>
      <w:r>
        <w:rPr>
          <w:sz w:val="22"/>
          <w:szCs w:val="22"/>
        </w:rPr>
        <w:tab/>
      </w:r>
      <w:r w:rsidRPr="00BA230B">
        <w:rPr>
          <w:sz w:val="22"/>
          <w:szCs w:val="22"/>
        </w:rPr>
        <w:t>identify steps that might properly be taken to mitigate liabilities (including any liabilities arising from the strategy itself).</w:t>
      </w:r>
    </w:p>
    <w:p w:rsidR="00556BEB" w:rsidRPr="00BA230B" w:rsidRDefault="00556BEB" w:rsidP="00FE5F92">
      <w:pPr>
        <w:pStyle w:val="Numberedparagraph"/>
        <w:spacing w:before="0" w:line="240" w:lineRule="auto"/>
        <w:ind w:left="567" w:hanging="567"/>
        <w:rPr>
          <w:sz w:val="22"/>
          <w:szCs w:val="22"/>
        </w:rPr>
      </w:pPr>
    </w:p>
    <w:p w:rsidR="00FE5F92" w:rsidRDefault="00FE5F92" w:rsidP="00556BEB">
      <w:pPr>
        <w:pStyle w:val="Numberedparagraph"/>
        <w:spacing w:before="120" w:line="240" w:lineRule="auto"/>
        <w:ind w:left="567" w:hanging="567"/>
        <w:rPr>
          <w:sz w:val="22"/>
          <w:szCs w:val="22"/>
        </w:rPr>
      </w:pPr>
      <w:r>
        <w:rPr>
          <w:sz w:val="22"/>
          <w:szCs w:val="22"/>
        </w:rPr>
        <w:t>16.</w:t>
      </w:r>
      <w:r>
        <w:rPr>
          <w:sz w:val="22"/>
          <w:szCs w:val="22"/>
        </w:rPr>
        <w:tab/>
      </w:r>
      <w:r w:rsidRPr="00BA230B">
        <w:rPr>
          <w:sz w:val="22"/>
          <w:szCs w:val="22"/>
        </w:rPr>
        <w:t xml:space="preserve">adapt their strategies to take account of new information and changing circumstances. </w:t>
      </w:r>
    </w:p>
    <w:p w:rsidR="00556BEB" w:rsidRDefault="00556BEB" w:rsidP="00FE5F92">
      <w:pPr>
        <w:pStyle w:val="Numberedparagraph"/>
        <w:spacing w:before="0" w:line="240" w:lineRule="auto"/>
        <w:ind w:left="567" w:hanging="567"/>
        <w:rPr>
          <w:sz w:val="22"/>
          <w:szCs w:val="22"/>
        </w:rPr>
      </w:pPr>
    </w:p>
    <w:p w:rsidR="008B34C3" w:rsidRPr="00BA230B" w:rsidRDefault="008B34C3" w:rsidP="00FE5F92">
      <w:pPr>
        <w:pStyle w:val="Numberedparagraph"/>
        <w:spacing w:before="0" w:line="240" w:lineRule="auto"/>
        <w:ind w:left="567" w:hanging="567"/>
        <w:rPr>
          <w:sz w:val="22"/>
          <w:szCs w:val="22"/>
        </w:rPr>
      </w:pPr>
    </w:p>
    <w:p w:rsidR="00FE5F92" w:rsidRDefault="00FE5F92" w:rsidP="00FE5F92">
      <w:pPr>
        <w:pStyle w:val="Subhead2"/>
        <w:spacing w:before="0" w:line="240" w:lineRule="auto"/>
        <w:ind w:hanging="2272"/>
        <w:outlineLvl w:val="0"/>
        <w:rPr>
          <w:sz w:val="22"/>
          <w:szCs w:val="22"/>
        </w:rPr>
      </w:pPr>
      <w:r w:rsidRPr="001600A3">
        <w:rPr>
          <w:sz w:val="22"/>
          <w:szCs w:val="22"/>
        </w:rPr>
        <w:t>Realisations</w:t>
      </w:r>
    </w:p>
    <w:p w:rsidR="00556BEB" w:rsidRPr="00556BEB" w:rsidRDefault="00556BEB" w:rsidP="00556BEB">
      <w:pPr>
        <w:pStyle w:val="Bodycopy"/>
        <w:spacing w:before="0" w:line="240" w:lineRule="auto"/>
        <w:ind w:left="2274"/>
      </w:pPr>
    </w:p>
    <w:p w:rsidR="00FE5F92" w:rsidRDefault="00FE5F92" w:rsidP="00556BEB">
      <w:pPr>
        <w:pStyle w:val="Bodycopy"/>
        <w:spacing w:before="120" w:line="240" w:lineRule="auto"/>
        <w:ind w:left="0"/>
        <w:rPr>
          <w:rFonts w:cs="Arial"/>
          <w:sz w:val="22"/>
          <w:szCs w:val="22"/>
        </w:rPr>
      </w:pPr>
      <w:r w:rsidRPr="00556BEB">
        <w:rPr>
          <w:rFonts w:cs="Arial"/>
          <w:sz w:val="22"/>
          <w:szCs w:val="22"/>
        </w:rPr>
        <w:t xml:space="preserve">The following learning outcomes provide a general list of the activities which candidates should be able to carry out to achieve realisations by disposals of the entity’s assets and by other means as appropriate. </w:t>
      </w:r>
    </w:p>
    <w:p w:rsidR="00556BEB" w:rsidRPr="00556BEB" w:rsidRDefault="00556BEB" w:rsidP="00556BEB">
      <w:pPr>
        <w:pStyle w:val="Bodycopy"/>
        <w:spacing w:before="0" w:line="240" w:lineRule="auto"/>
        <w:ind w:left="0"/>
        <w:rPr>
          <w:rFonts w:cs="Arial"/>
          <w:sz w:val="22"/>
          <w:szCs w:val="22"/>
        </w:rPr>
      </w:pPr>
    </w:p>
    <w:p w:rsidR="00FE5F92" w:rsidRDefault="00FE5F92" w:rsidP="00556BEB">
      <w:pPr>
        <w:pStyle w:val="Numberedparagraph"/>
        <w:spacing w:before="120" w:line="240" w:lineRule="auto"/>
        <w:rPr>
          <w:rFonts w:cs="Arial"/>
          <w:sz w:val="22"/>
          <w:szCs w:val="22"/>
        </w:rPr>
      </w:pPr>
      <w:r w:rsidRPr="00556BEB">
        <w:rPr>
          <w:rFonts w:cs="Arial"/>
          <w:sz w:val="22"/>
          <w:szCs w:val="22"/>
        </w:rPr>
        <w:t>Candidates should be able to</w:t>
      </w:r>
    </w:p>
    <w:p w:rsidR="00556BEB" w:rsidRPr="00556BEB" w:rsidRDefault="00556BEB" w:rsidP="00556BEB">
      <w:pPr>
        <w:pStyle w:val="Numberedparagraph"/>
        <w:spacing w:before="0" w:line="240" w:lineRule="auto"/>
        <w:rPr>
          <w:rFonts w:cs="Arial"/>
          <w:sz w:val="22"/>
          <w:szCs w:val="22"/>
        </w:rPr>
      </w:pPr>
    </w:p>
    <w:p w:rsidR="00FE5F92" w:rsidRDefault="00FE5F92" w:rsidP="00556BEB">
      <w:pPr>
        <w:pStyle w:val="Numberedparagraph"/>
        <w:spacing w:before="120" w:line="240" w:lineRule="auto"/>
        <w:ind w:left="567" w:hanging="567"/>
        <w:rPr>
          <w:rFonts w:cs="Arial"/>
          <w:sz w:val="22"/>
          <w:szCs w:val="22"/>
        </w:rPr>
      </w:pPr>
      <w:r w:rsidRPr="00556BEB">
        <w:rPr>
          <w:rFonts w:cs="Arial"/>
          <w:sz w:val="22"/>
          <w:szCs w:val="22"/>
        </w:rPr>
        <w:t>17.</w:t>
      </w:r>
      <w:r w:rsidRPr="00556BEB">
        <w:rPr>
          <w:rFonts w:cs="Arial"/>
          <w:sz w:val="22"/>
          <w:szCs w:val="22"/>
        </w:rPr>
        <w:tab/>
        <w:t>identify, seek out, establish ownership, take control of and protect the entity’s assets and records, including by means of</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 xml:space="preserve">investigation </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physical and practical controls</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legal proceedings</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insurance</w:t>
      </w:r>
    </w:p>
    <w:p w:rsidR="00FE5F92"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banking arrangements and investment of funds.</w:t>
      </w:r>
    </w:p>
    <w:p w:rsidR="00556BEB" w:rsidRPr="00556BEB" w:rsidRDefault="00556BEB" w:rsidP="00556BEB">
      <w:pPr>
        <w:pStyle w:val="Numberedparagraph"/>
        <w:spacing w:before="0" w:line="240" w:lineRule="auto"/>
        <w:ind w:left="567"/>
        <w:rPr>
          <w:rFonts w:cs="Arial"/>
          <w:sz w:val="22"/>
          <w:szCs w:val="22"/>
        </w:rPr>
      </w:pPr>
    </w:p>
    <w:p w:rsidR="00FE5F92" w:rsidRDefault="00FE5F92" w:rsidP="00556BEB">
      <w:pPr>
        <w:pStyle w:val="Numberedparagraph"/>
        <w:spacing w:before="120" w:line="240" w:lineRule="auto"/>
        <w:ind w:left="567" w:hanging="567"/>
        <w:rPr>
          <w:rFonts w:cs="Arial"/>
          <w:sz w:val="22"/>
          <w:szCs w:val="22"/>
        </w:rPr>
      </w:pPr>
      <w:r w:rsidRPr="00556BEB">
        <w:rPr>
          <w:rFonts w:cs="Arial"/>
          <w:sz w:val="22"/>
          <w:szCs w:val="22"/>
        </w:rPr>
        <w:t>18.</w:t>
      </w:r>
      <w:r w:rsidRPr="00556BEB">
        <w:rPr>
          <w:rFonts w:cs="Arial"/>
          <w:sz w:val="22"/>
          <w:szCs w:val="22"/>
        </w:rPr>
        <w:tab/>
        <w:t>manage the continuation and/or cessation of an entity’s business having proper regard to the rights of all affected parties, including dealing with</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finances, using cash flow forecasts and trading budgets</w:t>
      </w:r>
    </w:p>
    <w:p w:rsidR="00FE5F92" w:rsidRPr="00556BEB" w:rsidRDefault="00FE5F92" w:rsidP="00835008">
      <w:pPr>
        <w:pStyle w:val="Numberedparagraph"/>
        <w:numPr>
          <w:ilvl w:val="0"/>
          <w:numId w:val="4"/>
        </w:numPr>
        <w:tabs>
          <w:tab w:val="clear" w:pos="2877"/>
        </w:tabs>
        <w:spacing w:before="120" w:line="240" w:lineRule="auto"/>
        <w:ind w:left="1418" w:hanging="851"/>
        <w:rPr>
          <w:rFonts w:cs="Arial"/>
          <w:sz w:val="22"/>
          <w:szCs w:val="22"/>
        </w:rPr>
      </w:pPr>
      <w:r w:rsidRPr="00556BEB">
        <w:rPr>
          <w:rFonts w:cs="Arial"/>
          <w:sz w:val="22"/>
          <w:szCs w:val="22"/>
        </w:rPr>
        <w:tab/>
        <w:t>employees, taking account of their rights (including Transfer of Undertakings and pension rights) and of the office holder’s duties</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management of operations</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 xml:space="preserve">tax including VAT compliance </w:t>
      </w:r>
    </w:p>
    <w:p w:rsidR="00FE5F92" w:rsidRDefault="00FE5F92" w:rsidP="00835008">
      <w:pPr>
        <w:pStyle w:val="Numberedparagraph"/>
        <w:numPr>
          <w:ilvl w:val="0"/>
          <w:numId w:val="4"/>
        </w:numPr>
        <w:tabs>
          <w:tab w:val="clear" w:pos="2877"/>
        </w:tabs>
        <w:spacing w:before="120" w:line="240" w:lineRule="auto"/>
        <w:ind w:left="1418" w:hanging="851"/>
        <w:rPr>
          <w:rFonts w:cs="Arial"/>
          <w:iCs/>
          <w:sz w:val="22"/>
          <w:szCs w:val="22"/>
        </w:rPr>
      </w:pPr>
      <w:r w:rsidRPr="00556BEB">
        <w:rPr>
          <w:rFonts w:cs="Arial"/>
          <w:sz w:val="22"/>
          <w:szCs w:val="22"/>
        </w:rPr>
        <w:tab/>
        <w:t xml:space="preserve">compliance with industry licensing, environmental and other regulatory requirements, </w:t>
      </w:r>
      <w:r w:rsidRPr="00556BEB">
        <w:rPr>
          <w:rFonts w:cs="Arial"/>
          <w:iCs/>
          <w:sz w:val="22"/>
          <w:szCs w:val="22"/>
        </w:rPr>
        <w:t>including for personnel and premises</w:t>
      </w:r>
    </w:p>
    <w:p w:rsidR="008B34C3" w:rsidRPr="00556BEB" w:rsidRDefault="008B34C3" w:rsidP="008B34C3">
      <w:pPr>
        <w:pStyle w:val="Numberedparagraph"/>
        <w:spacing w:before="0" w:line="240" w:lineRule="auto"/>
        <w:ind w:left="567"/>
        <w:rPr>
          <w:rFonts w:cs="Arial"/>
          <w:iCs/>
          <w:sz w:val="22"/>
          <w:szCs w:val="22"/>
        </w:rPr>
      </w:pP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iCs/>
          <w:sz w:val="22"/>
          <w:szCs w:val="22"/>
        </w:rPr>
        <w:tab/>
      </w:r>
      <w:r w:rsidRPr="00556BEB">
        <w:rPr>
          <w:rFonts w:cs="Arial"/>
          <w:sz w:val="22"/>
          <w:szCs w:val="22"/>
        </w:rPr>
        <w:t>business assets, including</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lastRenderedPageBreak/>
        <w:t>freehold and leasehold premises</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fixtures and fittings</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plant and equipment</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motor vehicles</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stock and work in progress</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contracts</w:t>
      </w:r>
    </w:p>
    <w:p w:rsidR="00FE5F92" w:rsidRPr="00556BEB" w:rsidRDefault="00FE5F92" w:rsidP="00556BEB">
      <w:pPr>
        <w:pStyle w:val="Subbullets"/>
        <w:spacing w:before="120" w:line="240" w:lineRule="auto"/>
        <w:ind w:left="1440" w:hanging="360"/>
        <w:rPr>
          <w:rFonts w:cs="Arial"/>
          <w:sz w:val="22"/>
          <w:szCs w:val="22"/>
        </w:rPr>
      </w:pPr>
      <w:r w:rsidRPr="00556BEB">
        <w:rPr>
          <w:rFonts w:cs="Arial"/>
          <w:sz w:val="22"/>
          <w:szCs w:val="22"/>
        </w:rPr>
        <w:t>intellectual property, including goodwill.</w:t>
      </w:r>
    </w:p>
    <w:p w:rsidR="00FE5F92" w:rsidRPr="00556BEB" w:rsidRDefault="00FE5F92" w:rsidP="00556BEB">
      <w:pPr>
        <w:pStyle w:val="Numberedparagraph"/>
        <w:spacing w:before="0" w:line="240" w:lineRule="auto"/>
        <w:ind w:left="567" w:hanging="567"/>
        <w:rPr>
          <w:rFonts w:cs="Arial"/>
          <w:sz w:val="22"/>
          <w:szCs w:val="22"/>
        </w:rPr>
      </w:pPr>
    </w:p>
    <w:p w:rsidR="00FE5F92" w:rsidRPr="00556BEB" w:rsidRDefault="00FE5F92" w:rsidP="00556BEB">
      <w:pPr>
        <w:pStyle w:val="Numberedparagraph"/>
        <w:spacing w:before="120" w:line="240" w:lineRule="auto"/>
        <w:ind w:left="567" w:hanging="567"/>
        <w:rPr>
          <w:rFonts w:cs="Arial"/>
          <w:sz w:val="22"/>
          <w:szCs w:val="22"/>
        </w:rPr>
      </w:pPr>
      <w:r w:rsidRPr="00556BEB">
        <w:rPr>
          <w:rFonts w:cs="Arial"/>
          <w:sz w:val="22"/>
          <w:szCs w:val="22"/>
        </w:rPr>
        <w:t>19.</w:t>
      </w:r>
      <w:r w:rsidRPr="00556BEB">
        <w:rPr>
          <w:rFonts w:cs="Arial"/>
          <w:sz w:val="22"/>
          <w:szCs w:val="22"/>
        </w:rPr>
        <w:tab/>
        <w:t xml:space="preserve">realise value from the entity by executing </w:t>
      </w:r>
    </w:p>
    <w:p w:rsidR="00FE5F92" w:rsidRPr="00556BEB" w:rsidRDefault="00FE5F92" w:rsidP="00556BEB">
      <w:pPr>
        <w:pStyle w:val="Numberedparagraph"/>
        <w:spacing w:before="0" w:line="240" w:lineRule="auto"/>
        <w:ind w:left="567" w:hanging="567"/>
        <w:rPr>
          <w:rFonts w:cs="Arial"/>
          <w:sz w:val="22"/>
          <w:szCs w:val="22"/>
        </w:rPr>
      </w:pPr>
      <w:r w:rsidRPr="00556BEB">
        <w:rPr>
          <w:rFonts w:cs="Arial"/>
          <w:sz w:val="22"/>
          <w:szCs w:val="22"/>
        </w:rPr>
        <w:t xml:space="preserve"> </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sales of the business as a going concern, either as a whole or in part/s, making use of hive-down companies if appropriate</w:t>
      </w:r>
    </w:p>
    <w:p w:rsidR="00FE5F92" w:rsidRPr="00556BEB" w:rsidRDefault="00FE5F92" w:rsidP="00556BEB">
      <w:pPr>
        <w:pStyle w:val="Numberedparagraph"/>
        <w:spacing w:before="0" w:line="240" w:lineRule="auto"/>
        <w:ind w:left="992" w:hanging="425"/>
        <w:rPr>
          <w:rFonts w:cs="Arial"/>
          <w:sz w:val="22"/>
          <w:szCs w:val="22"/>
        </w:rPr>
      </w:pPr>
    </w:p>
    <w:p w:rsidR="00FE5F92" w:rsidRPr="00556BEB" w:rsidRDefault="00FE5F92" w:rsidP="00556BEB">
      <w:pPr>
        <w:pStyle w:val="Numberedparagraph"/>
        <w:spacing w:before="120" w:line="240" w:lineRule="auto"/>
        <w:ind w:left="540" w:firstLine="27"/>
        <w:rPr>
          <w:rFonts w:cs="Arial"/>
          <w:sz w:val="22"/>
          <w:szCs w:val="22"/>
        </w:rPr>
      </w:pPr>
      <w:r w:rsidRPr="00556BEB">
        <w:rPr>
          <w:rFonts w:cs="Arial"/>
          <w:sz w:val="22"/>
          <w:szCs w:val="22"/>
        </w:rPr>
        <w:tab/>
        <w:t xml:space="preserve">and/or </w:t>
      </w:r>
    </w:p>
    <w:p w:rsidR="00FE5F92" w:rsidRPr="00556BEB" w:rsidRDefault="00FE5F92" w:rsidP="00556BEB">
      <w:pPr>
        <w:pStyle w:val="Numberedparagraph"/>
        <w:spacing w:before="0" w:line="240" w:lineRule="auto"/>
        <w:ind w:left="992" w:hanging="425"/>
        <w:rPr>
          <w:rFonts w:cs="Arial"/>
          <w:sz w:val="22"/>
          <w:szCs w:val="22"/>
        </w:rPr>
      </w:pPr>
    </w:p>
    <w:p w:rsidR="00FE5F92" w:rsidRPr="00556BEB" w:rsidRDefault="00FE5F92" w:rsidP="00835008">
      <w:pPr>
        <w:pStyle w:val="Numberedparagraph"/>
        <w:numPr>
          <w:ilvl w:val="0"/>
          <w:numId w:val="5"/>
        </w:numPr>
        <w:tabs>
          <w:tab w:val="clear" w:pos="3014"/>
        </w:tabs>
        <w:spacing w:before="120" w:line="240" w:lineRule="auto"/>
        <w:ind w:left="1418" w:hanging="851"/>
        <w:rPr>
          <w:rFonts w:cs="Arial"/>
          <w:sz w:val="22"/>
          <w:szCs w:val="22"/>
        </w:rPr>
      </w:pPr>
      <w:r w:rsidRPr="00556BEB">
        <w:rPr>
          <w:rFonts w:cs="Arial"/>
          <w:sz w:val="22"/>
          <w:szCs w:val="22"/>
        </w:rPr>
        <w:tab/>
        <w:t xml:space="preserve">sales of assets, either as a whole or piecemeal, including, where relevant and appropriate, dealing with assets that are subject to </w:t>
      </w:r>
    </w:p>
    <w:p w:rsidR="00FE5F92" w:rsidRPr="00556BEB" w:rsidRDefault="00FE5F92" w:rsidP="00556BEB">
      <w:pPr>
        <w:pStyle w:val="Numberedparagraph"/>
        <w:spacing w:before="0" w:line="240" w:lineRule="auto"/>
        <w:rPr>
          <w:rFonts w:cs="Arial"/>
          <w:sz w:val="22"/>
          <w:szCs w:val="22"/>
        </w:rPr>
      </w:pPr>
    </w:p>
    <w:p w:rsidR="00FE5F92" w:rsidRPr="00556BEB" w:rsidRDefault="00FE5F92" w:rsidP="00556BEB">
      <w:pPr>
        <w:pStyle w:val="Subbullets"/>
        <w:spacing w:before="0" w:line="240" w:lineRule="auto"/>
        <w:ind w:left="1440" w:hanging="360"/>
        <w:rPr>
          <w:rFonts w:cs="Arial"/>
          <w:sz w:val="22"/>
          <w:szCs w:val="22"/>
        </w:rPr>
      </w:pPr>
      <w:r w:rsidRPr="00556BEB">
        <w:rPr>
          <w:rFonts w:cs="Arial"/>
          <w:sz w:val="22"/>
          <w:szCs w:val="22"/>
        </w:rPr>
        <w:t xml:space="preserve">security </w:t>
      </w:r>
    </w:p>
    <w:p w:rsidR="00FE5F92" w:rsidRPr="00556BEB" w:rsidRDefault="00FE5F92" w:rsidP="00556BEB">
      <w:pPr>
        <w:pStyle w:val="Subbullets"/>
        <w:spacing w:before="0" w:line="240" w:lineRule="auto"/>
        <w:ind w:left="1440" w:hanging="360"/>
        <w:rPr>
          <w:rFonts w:cs="Arial"/>
          <w:sz w:val="22"/>
          <w:szCs w:val="22"/>
        </w:rPr>
      </w:pPr>
      <w:r w:rsidRPr="00556BEB">
        <w:rPr>
          <w:rFonts w:cs="Arial"/>
          <w:sz w:val="22"/>
          <w:szCs w:val="22"/>
        </w:rPr>
        <w:t>execution, attachment or distress</w:t>
      </w:r>
    </w:p>
    <w:p w:rsidR="00FE5F92" w:rsidRPr="00556BEB" w:rsidRDefault="00FE5F92" w:rsidP="00556BEB">
      <w:pPr>
        <w:pStyle w:val="Subbullets"/>
        <w:spacing w:before="0" w:line="240" w:lineRule="auto"/>
        <w:ind w:left="1440" w:hanging="360"/>
        <w:rPr>
          <w:rFonts w:cs="Arial"/>
          <w:sz w:val="22"/>
          <w:szCs w:val="22"/>
        </w:rPr>
      </w:pPr>
      <w:r w:rsidRPr="00556BEB">
        <w:rPr>
          <w:rFonts w:cs="Arial"/>
          <w:sz w:val="22"/>
          <w:szCs w:val="22"/>
        </w:rPr>
        <w:t xml:space="preserve">lien </w:t>
      </w:r>
    </w:p>
    <w:p w:rsidR="00FE5F92" w:rsidRPr="00556BEB" w:rsidRDefault="00FE5F92" w:rsidP="00556BEB">
      <w:pPr>
        <w:pStyle w:val="Subbullets"/>
        <w:spacing w:before="0" w:line="240" w:lineRule="auto"/>
        <w:ind w:left="1440" w:hanging="360"/>
        <w:rPr>
          <w:rFonts w:cs="Arial"/>
          <w:sz w:val="22"/>
          <w:szCs w:val="22"/>
        </w:rPr>
      </w:pPr>
      <w:r w:rsidRPr="00556BEB">
        <w:rPr>
          <w:rFonts w:cs="Arial"/>
          <w:sz w:val="22"/>
          <w:szCs w:val="22"/>
        </w:rPr>
        <w:t>reservation of title</w:t>
      </w:r>
    </w:p>
    <w:p w:rsidR="00FE5F92" w:rsidRPr="00556BEB" w:rsidRDefault="00FE5F92" w:rsidP="00556BEB">
      <w:pPr>
        <w:pStyle w:val="Subbullets"/>
        <w:spacing w:before="0" w:line="240" w:lineRule="auto"/>
        <w:ind w:left="1440" w:hanging="360"/>
        <w:rPr>
          <w:rFonts w:cs="Arial"/>
          <w:sz w:val="22"/>
          <w:szCs w:val="22"/>
        </w:rPr>
      </w:pPr>
      <w:r w:rsidRPr="00556BEB">
        <w:rPr>
          <w:rFonts w:cs="Arial"/>
          <w:sz w:val="22"/>
          <w:szCs w:val="22"/>
        </w:rPr>
        <w:t>special legal requirements</w:t>
      </w:r>
    </w:p>
    <w:p w:rsidR="00FE5F92" w:rsidRDefault="00FE5F92" w:rsidP="00556BEB">
      <w:pPr>
        <w:pStyle w:val="Subbullets"/>
        <w:spacing w:before="0" w:line="240" w:lineRule="auto"/>
        <w:ind w:left="1440" w:hanging="360"/>
        <w:rPr>
          <w:rFonts w:cs="Arial"/>
          <w:sz w:val="22"/>
          <w:szCs w:val="22"/>
        </w:rPr>
      </w:pPr>
      <w:r w:rsidRPr="00556BEB">
        <w:rPr>
          <w:rFonts w:cs="Arial"/>
          <w:sz w:val="22"/>
          <w:szCs w:val="22"/>
        </w:rPr>
        <w:t>onerous provisions.</w:t>
      </w:r>
    </w:p>
    <w:p w:rsidR="00556BEB" w:rsidRPr="00556BEB" w:rsidRDefault="00556BEB" w:rsidP="00556BEB">
      <w:pPr>
        <w:pStyle w:val="Subbullets"/>
        <w:numPr>
          <w:ilvl w:val="0"/>
          <w:numId w:val="0"/>
        </w:numPr>
        <w:spacing w:before="0" w:line="240" w:lineRule="auto"/>
        <w:ind w:left="993"/>
        <w:rPr>
          <w:rFonts w:cs="Arial"/>
          <w:sz w:val="22"/>
          <w:szCs w:val="22"/>
        </w:rPr>
      </w:pPr>
    </w:p>
    <w:p w:rsidR="00FE5F92" w:rsidRDefault="00FE5F92" w:rsidP="00556BEB">
      <w:pPr>
        <w:pStyle w:val="Numberedparagraph"/>
        <w:spacing w:before="120" w:line="240" w:lineRule="auto"/>
        <w:ind w:left="567" w:hanging="567"/>
        <w:rPr>
          <w:rFonts w:cs="Arial"/>
          <w:sz w:val="22"/>
          <w:szCs w:val="22"/>
        </w:rPr>
      </w:pPr>
      <w:r w:rsidRPr="00556BEB">
        <w:rPr>
          <w:rFonts w:cs="Arial"/>
          <w:sz w:val="22"/>
          <w:szCs w:val="22"/>
        </w:rPr>
        <w:t>20.</w:t>
      </w:r>
      <w:r w:rsidRPr="00556BEB">
        <w:rPr>
          <w:rFonts w:cs="Arial"/>
          <w:sz w:val="22"/>
          <w:szCs w:val="22"/>
        </w:rPr>
        <w:tab/>
        <w:t>achieve realisations from sources other than asset disposals, including from</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835008">
      <w:pPr>
        <w:pStyle w:val="Numberedparagraph"/>
        <w:numPr>
          <w:ilvl w:val="0"/>
          <w:numId w:val="4"/>
        </w:numPr>
        <w:tabs>
          <w:tab w:val="clear" w:pos="2877"/>
        </w:tabs>
        <w:spacing w:before="120" w:line="240" w:lineRule="auto"/>
        <w:ind w:left="1418" w:hanging="851"/>
        <w:rPr>
          <w:rFonts w:cs="Arial"/>
          <w:sz w:val="22"/>
          <w:szCs w:val="22"/>
        </w:rPr>
      </w:pPr>
      <w:r w:rsidRPr="00556BEB">
        <w:rPr>
          <w:rFonts w:cs="Arial"/>
          <w:sz w:val="22"/>
          <w:szCs w:val="22"/>
        </w:rPr>
        <w:tab/>
        <w:t xml:space="preserve">actions that may only be available to the office holder, including those in respect of misconduct, or voidable transactions </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amounts that may be recoverable by the entity in its own name</w:t>
      </w:r>
    </w:p>
    <w:p w:rsidR="00FE5F92" w:rsidRPr="00556BEB"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contributions from net income</w:t>
      </w:r>
    </w:p>
    <w:p w:rsidR="00FE5F92" w:rsidRDefault="00FE5F92" w:rsidP="00556BEB">
      <w:pPr>
        <w:pStyle w:val="Numberedparagraph"/>
        <w:numPr>
          <w:ilvl w:val="0"/>
          <w:numId w:val="4"/>
        </w:numPr>
        <w:tabs>
          <w:tab w:val="clear" w:pos="2877"/>
        </w:tabs>
        <w:spacing w:before="120" w:line="240" w:lineRule="auto"/>
        <w:ind w:left="1080" w:hanging="513"/>
        <w:rPr>
          <w:rFonts w:cs="Arial"/>
          <w:sz w:val="22"/>
          <w:szCs w:val="22"/>
        </w:rPr>
      </w:pPr>
      <w:r w:rsidRPr="00556BEB">
        <w:rPr>
          <w:rFonts w:cs="Arial"/>
          <w:sz w:val="22"/>
          <w:szCs w:val="22"/>
        </w:rPr>
        <w:tab/>
        <w:t>contributions from third parties.</w:t>
      </w:r>
    </w:p>
    <w:p w:rsidR="00556BEB" w:rsidRPr="00556BEB" w:rsidRDefault="00556BEB" w:rsidP="00556BEB">
      <w:pPr>
        <w:pStyle w:val="Numberedparagraph"/>
        <w:spacing w:before="0" w:line="240" w:lineRule="auto"/>
        <w:ind w:left="567"/>
        <w:rPr>
          <w:rFonts w:cs="Arial"/>
          <w:sz w:val="22"/>
          <w:szCs w:val="22"/>
        </w:rPr>
      </w:pPr>
    </w:p>
    <w:p w:rsidR="00FE5F92" w:rsidRPr="00556BEB" w:rsidRDefault="00FE5F92" w:rsidP="00556BEB">
      <w:pPr>
        <w:pStyle w:val="Numberedparagraph"/>
        <w:spacing w:before="120" w:line="240" w:lineRule="auto"/>
        <w:ind w:left="567" w:hanging="567"/>
        <w:rPr>
          <w:rFonts w:cs="Arial"/>
          <w:sz w:val="22"/>
          <w:szCs w:val="22"/>
        </w:rPr>
      </w:pPr>
      <w:r w:rsidRPr="00556BEB">
        <w:rPr>
          <w:rFonts w:cs="Arial"/>
          <w:sz w:val="22"/>
          <w:szCs w:val="22"/>
        </w:rPr>
        <w:t>21.</w:t>
      </w:r>
      <w:r w:rsidRPr="00556BEB">
        <w:rPr>
          <w:rFonts w:cs="Arial"/>
          <w:sz w:val="22"/>
          <w:szCs w:val="22"/>
        </w:rPr>
        <w:tab/>
        <w:t xml:space="preserve">identify circumstances that give rise to potential recovery actions, the creditors who might benefit from pursuing them, how such actions might be funded, and whether they should be pursued. </w:t>
      </w:r>
    </w:p>
    <w:p w:rsidR="00FE5F92" w:rsidRPr="00556BEB" w:rsidRDefault="00FE5F92" w:rsidP="00556BEB">
      <w:pPr>
        <w:pStyle w:val="Numberedparagraph"/>
        <w:spacing w:before="0" w:line="240" w:lineRule="auto"/>
        <w:rPr>
          <w:rFonts w:cs="Arial"/>
          <w:sz w:val="22"/>
          <w:szCs w:val="22"/>
        </w:rPr>
      </w:pPr>
    </w:p>
    <w:p w:rsidR="00FE5F92" w:rsidRPr="00556BEB" w:rsidRDefault="00FE5F92" w:rsidP="00556BEB">
      <w:pPr>
        <w:pStyle w:val="Numberedparagraph"/>
        <w:spacing w:before="0" w:line="240" w:lineRule="auto"/>
        <w:rPr>
          <w:rFonts w:cs="Arial"/>
          <w:sz w:val="22"/>
          <w:szCs w:val="22"/>
        </w:rPr>
      </w:pPr>
    </w:p>
    <w:p w:rsidR="00FE5F92" w:rsidRDefault="00FE5F92" w:rsidP="00556BEB">
      <w:pPr>
        <w:pStyle w:val="Subhead2"/>
        <w:spacing w:before="0" w:line="240" w:lineRule="auto"/>
        <w:ind w:left="0"/>
        <w:outlineLvl w:val="0"/>
        <w:rPr>
          <w:rFonts w:cs="Arial"/>
          <w:sz w:val="22"/>
          <w:szCs w:val="22"/>
        </w:rPr>
      </w:pPr>
      <w:r w:rsidRPr="00556BEB">
        <w:rPr>
          <w:rFonts w:cs="Arial"/>
          <w:sz w:val="22"/>
          <w:szCs w:val="22"/>
        </w:rPr>
        <w:br w:type="page"/>
      </w:r>
      <w:r w:rsidRPr="00556BEB">
        <w:rPr>
          <w:rFonts w:cs="Arial"/>
          <w:sz w:val="22"/>
          <w:szCs w:val="22"/>
        </w:rPr>
        <w:lastRenderedPageBreak/>
        <w:t>Dealing with Misconduct</w:t>
      </w:r>
    </w:p>
    <w:p w:rsidR="00556BEB" w:rsidRPr="00556BEB" w:rsidRDefault="00556BEB" w:rsidP="00556BEB">
      <w:pPr>
        <w:pStyle w:val="Bodycopy"/>
        <w:spacing w:before="0" w:line="240" w:lineRule="auto"/>
        <w:ind w:left="2274"/>
      </w:pPr>
    </w:p>
    <w:p w:rsidR="00FE5F92" w:rsidRDefault="00FE5F92" w:rsidP="00556BEB">
      <w:pPr>
        <w:pStyle w:val="Bodycopy"/>
        <w:spacing w:before="120" w:line="240" w:lineRule="auto"/>
        <w:ind w:left="0"/>
        <w:rPr>
          <w:rFonts w:cs="Arial"/>
          <w:sz w:val="22"/>
          <w:szCs w:val="22"/>
        </w:rPr>
      </w:pPr>
      <w:r w:rsidRPr="00556BEB">
        <w:rPr>
          <w:rFonts w:cs="Arial"/>
          <w:sz w:val="22"/>
          <w:szCs w:val="22"/>
        </w:rPr>
        <w:t>The following learning outcomes refer to the duties of the office holder to assess and report on conduct.</w:t>
      </w:r>
    </w:p>
    <w:p w:rsidR="00556BEB" w:rsidRPr="00556BEB" w:rsidRDefault="00556BEB" w:rsidP="00556BEB">
      <w:pPr>
        <w:pStyle w:val="Bodycopy"/>
        <w:spacing w:before="0" w:line="240" w:lineRule="auto"/>
        <w:ind w:left="0"/>
        <w:rPr>
          <w:rFonts w:cs="Arial"/>
          <w:sz w:val="22"/>
          <w:szCs w:val="22"/>
        </w:rPr>
      </w:pPr>
    </w:p>
    <w:p w:rsidR="00FE5F92" w:rsidRDefault="00FE5F92" w:rsidP="00556BEB">
      <w:pPr>
        <w:pStyle w:val="Numberedparagraph"/>
        <w:spacing w:before="120" w:line="240" w:lineRule="auto"/>
        <w:rPr>
          <w:rFonts w:cs="Arial"/>
          <w:sz w:val="22"/>
          <w:szCs w:val="22"/>
        </w:rPr>
      </w:pPr>
      <w:r w:rsidRPr="00556BEB">
        <w:rPr>
          <w:rFonts w:cs="Arial"/>
          <w:sz w:val="22"/>
          <w:szCs w:val="22"/>
        </w:rPr>
        <w:t>Candidates should be able to</w:t>
      </w:r>
    </w:p>
    <w:p w:rsidR="00556BEB" w:rsidRPr="00556BEB" w:rsidRDefault="00556BEB" w:rsidP="00556BEB">
      <w:pPr>
        <w:pStyle w:val="Numberedparagraph"/>
        <w:spacing w:before="0" w:line="240" w:lineRule="auto"/>
        <w:rPr>
          <w:rFonts w:cs="Arial"/>
          <w:sz w:val="22"/>
          <w:szCs w:val="22"/>
        </w:rPr>
      </w:pPr>
    </w:p>
    <w:p w:rsidR="00FE5F92" w:rsidRDefault="00FE5F92" w:rsidP="00556BEB">
      <w:pPr>
        <w:pStyle w:val="Numberedparagraph"/>
        <w:spacing w:before="120" w:line="240" w:lineRule="auto"/>
        <w:ind w:left="567" w:hanging="567"/>
        <w:rPr>
          <w:rFonts w:cs="Arial"/>
          <w:sz w:val="22"/>
          <w:szCs w:val="22"/>
        </w:rPr>
      </w:pPr>
      <w:r w:rsidRPr="00556BEB">
        <w:rPr>
          <w:rFonts w:cs="Arial"/>
          <w:sz w:val="22"/>
          <w:szCs w:val="22"/>
        </w:rPr>
        <w:t>22.</w:t>
      </w:r>
      <w:r w:rsidRPr="00556BEB">
        <w:rPr>
          <w:rFonts w:cs="Arial"/>
          <w:sz w:val="22"/>
          <w:szCs w:val="22"/>
        </w:rPr>
        <w:tab/>
        <w:t>identify and, where appropriate, investigate misconduct relating to the insolvency, including such matters as are identified in the Insolvency Act 1986 and in the Company Directors’ Disqualification Act 1986.</w:t>
      </w:r>
    </w:p>
    <w:p w:rsidR="00556BEB" w:rsidRPr="00556BEB" w:rsidRDefault="00556BEB" w:rsidP="00556BEB">
      <w:pPr>
        <w:pStyle w:val="Numberedparagraph"/>
        <w:spacing w:before="0" w:line="240" w:lineRule="auto"/>
        <w:ind w:left="567" w:hanging="567"/>
        <w:rPr>
          <w:rFonts w:cs="Arial"/>
          <w:sz w:val="22"/>
          <w:szCs w:val="22"/>
        </w:rPr>
      </w:pPr>
    </w:p>
    <w:p w:rsidR="00FE5F92" w:rsidRDefault="00FE5F92" w:rsidP="00556BEB">
      <w:pPr>
        <w:pStyle w:val="Numberedparagraph"/>
        <w:spacing w:before="120" w:line="240" w:lineRule="auto"/>
        <w:ind w:left="567" w:hanging="567"/>
        <w:rPr>
          <w:rFonts w:cs="Arial"/>
          <w:sz w:val="22"/>
          <w:szCs w:val="22"/>
        </w:rPr>
      </w:pPr>
      <w:r w:rsidRPr="00556BEB">
        <w:rPr>
          <w:rFonts w:cs="Arial"/>
          <w:sz w:val="22"/>
          <w:szCs w:val="22"/>
        </w:rPr>
        <w:t>23.</w:t>
      </w:r>
      <w:r w:rsidRPr="00556BEB">
        <w:rPr>
          <w:rFonts w:cs="Arial"/>
          <w:sz w:val="22"/>
          <w:szCs w:val="22"/>
        </w:rPr>
        <w:tab/>
        <w:t xml:space="preserve">prepare and submit reports as required in cases of misconduct, including to the </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Official Receiver</w:t>
      </w:r>
    </w:p>
    <w:p w:rsidR="00FE5F92" w:rsidRPr="00556BEB"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 xml:space="preserve">Secretary of State for </w:t>
      </w:r>
      <w:r w:rsidR="0036782F">
        <w:rPr>
          <w:rFonts w:cs="Arial"/>
          <w:sz w:val="22"/>
          <w:szCs w:val="22"/>
        </w:rPr>
        <w:t>Business, Innovation</w:t>
      </w:r>
      <w:r w:rsidR="000D30D4">
        <w:rPr>
          <w:rFonts w:cs="Arial"/>
          <w:sz w:val="22"/>
          <w:szCs w:val="22"/>
        </w:rPr>
        <w:t xml:space="preserve"> and Skills</w:t>
      </w:r>
    </w:p>
    <w:p w:rsidR="00FE5F92"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Serious Organised Crime Agency.</w:t>
      </w:r>
    </w:p>
    <w:p w:rsidR="00556BEB" w:rsidRPr="00556BEB" w:rsidRDefault="00556BEB" w:rsidP="00556BEB">
      <w:pPr>
        <w:pStyle w:val="Numberedparagraph"/>
        <w:spacing w:before="0" w:line="240" w:lineRule="auto"/>
        <w:ind w:left="567"/>
        <w:rPr>
          <w:rFonts w:cs="Arial"/>
          <w:sz w:val="22"/>
          <w:szCs w:val="22"/>
        </w:rPr>
      </w:pPr>
    </w:p>
    <w:p w:rsidR="00FE5F92" w:rsidRDefault="00FE5F92" w:rsidP="00556BEB">
      <w:pPr>
        <w:pStyle w:val="Subhead2"/>
        <w:spacing w:before="0" w:line="240" w:lineRule="auto"/>
        <w:ind w:left="0"/>
        <w:outlineLvl w:val="0"/>
        <w:rPr>
          <w:rFonts w:cs="Arial"/>
          <w:sz w:val="22"/>
          <w:szCs w:val="22"/>
        </w:rPr>
      </w:pPr>
      <w:r w:rsidRPr="00556BEB">
        <w:rPr>
          <w:rFonts w:cs="Arial"/>
          <w:sz w:val="22"/>
          <w:szCs w:val="22"/>
        </w:rPr>
        <w:t xml:space="preserve">Agreeing and Paying Claims </w:t>
      </w:r>
    </w:p>
    <w:p w:rsidR="00556BEB" w:rsidRPr="00556BEB" w:rsidRDefault="00556BEB" w:rsidP="00556BEB">
      <w:pPr>
        <w:pStyle w:val="Bodycopy"/>
        <w:spacing w:before="0" w:line="240" w:lineRule="auto"/>
        <w:ind w:left="2274"/>
      </w:pPr>
    </w:p>
    <w:p w:rsidR="00FE5F92" w:rsidRDefault="00FE5F92" w:rsidP="008B34C3">
      <w:pPr>
        <w:pStyle w:val="Bodycopy"/>
        <w:spacing w:before="120" w:line="240" w:lineRule="auto"/>
        <w:ind w:left="0"/>
        <w:rPr>
          <w:rFonts w:cs="Arial"/>
          <w:sz w:val="22"/>
          <w:szCs w:val="22"/>
        </w:rPr>
      </w:pPr>
      <w:r w:rsidRPr="00556BEB">
        <w:rPr>
          <w:rFonts w:cs="Arial"/>
          <w:sz w:val="22"/>
          <w:szCs w:val="22"/>
        </w:rPr>
        <w:t>The following learning outcomes provide a general list of the activities by which candidates should be able to agree and pay claims in an insolvency procedure. Not all of them will apply in every case.</w:t>
      </w:r>
    </w:p>
    <w:p w:rsidR="00556BEB" w:rsidRPr="00556BEB" w:rsidRDefault="00556BEB" w:rsidP="00556BEB">
      <w:pPr>
        <w:pStyle w:val="Bodycopy"/>
        <w:spacing w:before="0" w:line="240" w:lineRule="auto"/>
        <w:ind w:left="0"/>
        <w:rPr>
          <w:rFonts w:cs="Arial"/>
          <w:sz w:val="22"/>
          <w:szCs w:val="22"/>
        </w:rPr>
      </w:pPr>
    </w:p>
    <w:p w:rsidR="00FE5F92" w:rsidRDefault="00FE5F92" w:rsidP="008B34C3">
      <w:pPr>
        <w:pStyle w:val="Numberedparagraph"/>
        <w:spacing w:before="120" w:line="240" w:lineRule="auto"/>
        <w:rPr>
          <w:rFonts w:cs="Arial"/>
          <w:sz w:val="22"/>
          <w:szCs w:val="22"/>
        </w:rPr>
      </w:pPr>
      <w:r w:rsidRPr="00556BEB">
        <w:rPr>
          <w:rFonts w:cs="Arial"/>
          <w:sz w:val="22"/>
          <w:szCs w:val="22"/>
        </w:rPr>
        <w:t>Candidates should be able to</w:t>
      </w:r>
    </w:p>
    <w:p w:rsidR="00556BEB" w:rsidRPr="00556BEB" w:rsidRDefault="00556BEB" w:rsidP="00556BEB">
      <w:pPr>
        <w:pStyle w:val="Numberedparagraph"/>
        <w:spacing w:before="0" w:line="240" w:lineRule="auto"/>
        <w:rPr>
          <w:rFonts w:cs="Arial"/>
          <w:sz w:val="22"/>
          <w:szCs w:val="22"/>
        </w:rPr>
      </w:pPr>
    </w:p>
    <w:p w:rsidR="00FE5F92" w:rsidRDefault="00FE5F92" w:rsidP="008B34C3">
      <w:pPr>
        <w:pStyle w:val="Numberedparagraph"/>
        <w:spacing w:before="120" w:line="240" w:lineRule="auto"/>
        <w:ind w:left="567" w:hanging="567"/>
        <w:rPr>
          <w:rFonts w:cs="Arial"/>
          <w:sz w:val="22"/>
          <w:szCs w:val="22"/>
        </w:rPr>
      </w:pPr>
      <w:r w:rsidRPr="00556BEB">
        <w:rPr>
          <w:rFonts w:cs="Arial"/>
          <w:sz w:val="22"/>
          <w:szCs w:val="22"/>
        </w:rPr>
        <w:t>24.</w:t>
      </w:r>
      <w:r w:rsidRPr="00556BEB">
        <w:rPr>
          <w:rFonts w:cs="Arial"/>
          <w:sz w:val="22"/>
          <w:szCs w:val="22"/>
        </w:rPr>
        <w:tab/>
        <w:t>determine the validity of charges and the charge holders’ rights, and to compute the amounts payable.</w:t>
      </w:r>
    </w:p>
    <w:p w:rsidR="00556BEB" w:rsidRPr="00556BEB" w:rsidRDefault="00556BEB" w:rsidP="00556BEB">
      <w:pPr>
        <w:pStyle w:val="Numberedparagraph"/>
        <w:spacing w:before="0" w:line="240" w:lineRule="auto"/>
        <w:ind w:left="567" w:hanging="567"/>
        <w:rPr>
          <w:rFonts w:cs="Arial"/>
          <w:sz w:val="22"/>
          <w:szCs w:val="22"/>
        </w:rPr>
      </w:pPr>
    </w:p>
    <w:p w:rsidR="00FE5F92" w:rsidRDefault="00FE5F92" w:rsidP="008B34C3">
      <w:pPr>
        <w:pStyle w:val="Numberedparagraph"/>
        <w:spacing w:before="120" w:line="240" w:lineRule="auto"/>
        <w:ind w:left="567" w:hanging="567"/>
        <w:rPr>
          <w:rFonts w:cs="Arial"/>
          <w:sz w:val="22"/>
          <w:szCs w:val="22"/>
        </w:rPr>
      </w:pPr>
      <w:r w:rsidRPr="00556BEB">
        <w:rPr>
          <w:rFonts w:cs="Arial"/>
          <w:sz w:val="22"/>
          <w:szCs w:val="22"/>
        </w:rPr>
        <w:t>25.</w:t>
      </w:r>
      <w:r w:rsidRPr="00556BEB">
        <w:rPr>
          <w:rFonts w:cs="Arial"/>
          <w:sz w:val="22"/>
          <w:szCs w:val="22"/>
        </w:rPr>
        <w:tab/>
        <w:t xml:space="preserve">determine the validity and quantum of preferential claims and compute the amounts payable. </w:t>
      </w:r>
    </w:p>
    <w:p w:rsidR="00556BEB" w:rsidRPr="00556BEB" w:rsidRDefault="00556BEB" w:rsidP="00556BEB">
      <w:pPr>
        <w:pStyle w:val="Numberedparagraph"/>
        <w:spacing w:before="0" w:line="240" w:lineRule="auto"/>
        <w:ind w:left="567" w:hanging="567"/>
        <w:rPr>
          <w:rFonts w:cs="Arial"/>
          <w:sz w:val="22"/>
          <w:szCs w:val="22"/>
        </w:rPr>
      </w:pPr>
    </w:p>
    <w:p w:rsidR="00FE5F92" w:rsidRDefault="00FE5F92" w:rsidP="008B34C3">
      <w:pPr>
        <w:pStyle w:val="Numberedparagraph"/>
        <w:spacing w:before="120" w:line="240" w:lineRule="auto"/>
        <w:ind w:left="567" w:hanging="567"/>
        <w:rPr>
          <w:rFonts w:cs="Arial"/>
          <w:sz w:val="22"/>
          <w:szCs w:val="22"/>
        </w:rPr>
      </w:pPr>
      <w:r w:rsidRPr="00556BEB">
        <w:rPr>
          <w:rFonts w:cs="Arial"/>
          <w:sz w:val="22"/>
          <w:szCs w:val="22"/>
        </w:rPr>
        <w:t>26.</w:t>
      </w:r>
      <w:r w:rsidRPr="00556BEB">
        <w:rPr>
          <w:rFonts w:cs="Arial"/>
          <w:sz w:val="22"/>
          <w:szCs w:val="22"/>
        </w:rPr>
        <w:tab/>
        <w:t>evaluate and resolve claims in special categories, including</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retention of title</w:t>
      </w:r>
    </w:p>
    <w:p w:rsidR="00FE5F92" w:rsidRPr="00556BEB"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lien</w:t>
      </w:r>
    </w:p>
    <w:p w:rsidR="00FE5F92" w:rsidRPr="00556BEB"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hire purchase and leasing</w:t>
      </w:r>
    </w:p>
    <w:p w:rsidR="00FE5F92" w:rsidRDefault="00FE5F92" w:rsidP="008B34C3">
      <w:pPr>
        <w:pStyle w:val="Numberedparagraph"/>
        <w:numPr>
          <w:ilvl w:val="0"/>
          <w:numId w:val="4"/>
        </w:numPr>
        <w:tabs>
          <w:tab w:val="clear" w:pos="2877"/>
        </w:tabs>
        <w:spacing w:before="120" w:line="240" w:lineRule="auto"/>
        <w:ind w:left="1077" w:hanging="510"/>
        <w:rPr>
          <w:rFonts w:cs="Arial"/>
          <w:sz w:val="22"/>
          <w:szCs w:val="22"/>
        </w:rPr>
      </w:pPr>
      <w:r w:rsidRPr="00556BEB">
        <w:rPr>
          <w:rFonts w:cs="Arial"/>
          <w:sz w:val="22"/>
          <w:szCs w:val="22"/>
        </w:rPr>
        <w:tab/>
        <w:t>execution and distress.</w:t>
      </w:r>
    </w:p>
    <w:p w:rsidR="00556BEB" w:rsidRPr="00556BEB" w:rsidRDefault="00556BEB" w:rsidP="00556BEB">
      <w:pPr>
        <w:pStyle w:val="Numberedparagraph"/>
        <w:spacing w:before="0" w:line="240" w:lineRule="auto"/>
        <w:ind w:left="567"/>
        <w:rPr>
          <w:rFonts w:cs="Arial"/>
          <w:sz w:val="22"/>
          <w:szCs w:val="22"/>
        </w:rPr>
      </w:pPr>
    </w:p>
    <w:p w:rsidR="00FE5F92" w:rsidRDefault="00FE5F92" w:rsidP="008B34C3">
      <w:pPr>
        <w:pStyle w:val="Numberedparagraph"/>
        <w:spacing w:before="120" w:line="240" w:lineRule="auto"/>
        <w:ind w:left="567" w:hanging="567"/>
        <w:rPr>
          <w:rFonts w:cs="Arial"/>
          <w:sz w:val="22"/>
          <w:szCs w:val="22"/>
        </w:rPr>
      </w:pPr>
      <w:r w:rsidRPr="00556BEB">
        <w:rPr>
          <w:rFonts w:cs="Arial"/>
          <w:sz w:val="22"/>
          <w:szCs w:val="22"/>
        </w:rPr>
        <w:t>27.</w:t>
      </w:r>
      <w:r w:rsidRPr="00556BEB">
        <w:rPr>
          <w:rFonts w:cs="Arial"/>
          <w:sz w:val="22"/>
          <w:szCs w:val="22"/>
        </w:rPr>
        <w:tab/>
        <w:t>determine the validity and quantum of unsecured claims and compute the amounts payable.</w:t>
      </w:r>
    </w:p>
    <w:p w:rsidR="00556BEB" w:rsidRPr="00556BEB" w:rsidRDefault="00556BEB" w:rsidP="00556BEB">
      <w:pPr>
        <w:pStyle w:val="Numberedparagraph"/>
        <w:spacing w:before="0" w:line="240" w:lineRule="auto"/>
        <w:ind w:left="567" w:hanging="567"/>
        <w:rPr>
          <w:rFonts w:cs="Arial"/>
          <w:sz w:val="22"/>
          <w:szCs w:val="22"/>
        </w:rPr>
      </w:pPr>
    </w:p>
    <w:p w:rsidR="00FE5F92" w:rsidRDefault="00FE5F92" w:rsidP="008B34C3">
      <w:pPr>
        <w:pStyle w:val="Numberedparagraph"/>
        <w:spacing w:before="120" w:line="240" w:lineRule="auto"/>
        <w:ind w:left="567" w:hanging="567"/>
        <w:rPr>
          <w:rFonts w:cs="Arial"/>
          <w:sz w:val="22"/>
          <w:szCs w:val="22"/>
        </w:rPr>
      </w:pPr>
      <w:r w:rsidRPr="00556BEB">
        <w:rPr>
          <w:rFonts w:cs="Arial"/>
          <w:sz w:val="22"/>
          <w:szCs w:val="22"/>
        </w:rPr>
        <w:t>28.</w:t>
      </w:r>
      <w:r w:rsidRPr="00556BEB">
        <w:rPr>
          <w:rFonts w:cs="Arial"/>
          <w:sz w:val="22"/>
          <w:szCs w:val="22"/>
        </w:rPr>
        <w:tab/>
        <w:t>rank all of the valid claims, and duly pay them in the statutory order having taken into account, as appropriate, interest, set off, the Prescribed Part, subrogation and marshalling.</w:t>
      </w:r>
    </w:p>
    <w:p w:rsidR="00556BEB" w:rsidRPr="00556BEB" w:rsidRDefault="00556BEB" w:rsidP="00556BEB">
      <w:pPr>
        <w:pStyle w:val="Numberedparagraph"/>
        <w:spacing w:before="0" w:line="240" w:lineRule="auto"/>
        <w:ind w:left="567" w:hanging="567"/>
        <w:rPr>
          <w:rFonts w:cs="Arial"/>
          <w:sz w:val="22"/>
          <w:szCs w:val="22"/>
        </w:rPr>
      </w:pPr>
    </w:p>
    <w:p w:rsidR="00FE5F92" w:rsidRPr="00556BEB" w:rsidRDefault="00FE5F92" w:rsidP="008B34C3">
      <w:pPr>
        <w:pStyle w:val="Numberedparagraph"/>
        <w:spacing w:before="120" w:line="240" w:lineRule="auto"/>
        <w:ind w:left="567" w:hanging="567"/>
        <w:rPr>
          <w:rFonts w:cs="Arial"/>
          <w:sz w:val="22"/>
          <w:szCs w:val="22"/>
        </w:rPr>
      </w:pPr>
      <w:r w:rsidRPr="00556BEB">
        <w:rPr>
          <w:rFonts w:cs="Arial"/>
          <w:sz w:val="22"/>
          <w:szCs w:val="22"/>
        </w:rPr>
        <w:t>29.</w:t>
      </w:r>
      <w:r w:rsidRPr="00556BEB">
        <w:rPr>
          <w:rFonts w:cs="Arial"/>
          <w:sz w:val="22"/>
          <w:szCs w:val="22"/>
        </w:rPr>
        <w:tab/>
        <w:t>determine the amounts and entitlements to any surplus after the payment of relevant creditors and the procedures for passing it across.</w:t>
      </w:r>
    </w:p>
    <w:p w:rsidR="00FE5F92" w:rsidRPr="00556BEB" w:rsidRDefault="00FE5F92" w:rsidP="00556BEB">
      <w:pPr>
        <w:pStyle w:val="BodyText"/>
        <w:spacing w:after="0"/>
        <w:rPr>
          <w:rFonts w:ascii="Arial" w:hAnsi="Arial" w:cs="Arial"/>
          <w:sz w:val="22"/>
          <w:szCs w:val="22"/>
        </w:rPr>
      </w:pPr>
    </w:p>
    <w:sectPr w:rsidR="00FE5F92" w:rsidRPr="00556BEB" w:rsidSect="001076E6">
      <w:footerReference w:type="default" r:id="rId9"/>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C6" w:rsidRDefault="00B232C6">
      <w:r>
        <w:separator/>
      </w:r>
    </w:p>
  </w:endnote>
  <w:endnote w:type="continuationSeparator" w:id="0">
    <w:p w:rsidR="00B232C6" w:rsidRDefault="00B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C6" w:rsidRPr="008B34C3" w:rsidRDefault="007929B2" w:rsidP="001076E6">
    <w:pPr>
      <w:pStyle w:val="Footer"/>
      <w:tabs>
        <w:tab w:val="clear" w:pos="8640"/>
        <w:tab w:val="right" w:pos="8929"/>
      </w:tabs>
      <w:rPr>
        <w:i w:val="0"/>
      </w:rPr>
    </w:pPr>
    <w:r>
      <w:rPr>
        <w:i w:val="0"/>
        <w:noProof/>
        <w:lang w:eastAsia="zh-TW"/>
      </w:rPr>
      <mc:AlternateContent>
        <mc:Choice Requires="wps">
          <w:drawing>
            <wp:anchor distT="4294967293" distB="4294967293" distL="114300" distR="114300" simplePos="0" relativeHeight="251658240" behindDoc="0" locked="0" layoutInCell="1" allowOverlap="1">
              <wp:simplePos x="0" y="0"/>
              <wp:positionH relativeFrom="column">
                <wp:posOffset>-28575</wp:posOffset>
              </wp:positionH>
              <wp:positionV relativeFrom="paragraph">
                <wp:posOffset>3174</wp:posOffset>
              </wp:positionV>
              <wp:extent cx="61722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CF8B"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5pt" to="48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"/>
          </w:pict>
        </mc:Fallback>
      </mc:AlternateContent>
    </w:r>
    <w:r w:rsidR="00B232C6">
      <w:rPr>
        <w:i w:val="0"/>
      </w:rPr>
      <w:t>JIEB 2018</w:t>
    </w:r>
    <w:r w:rsidR="00B232C6">
      <w:rPr>
        <w:i w:val="0"/>
      </w:rPr>
      <w:tab/>
    </w:r>
    <w:r w:rsidR="00B232C6">
      <w:rPr>
        <w:i w:val="0"/>
      </w:rPr>
      <w:tab/>
      <w:t xml:space="preserve">Page </w:t>
    </w:r>
    <w:r w:rsidR="00B232C6">
      <w:rPr>
        <w:rStyle w:val="PageNumber"/>
      </w:rPr>
      <w:fldChar w:fldCharType="begin"/>
    </w:r>
    <w:r w:rsidR="00B232C6">
      <w:rPr>
        <w:rStyle w:val="PageNumber"/>
      </w:rPr>
      <w:instrText xml:space="preserve"> PAGE </w:instrText>
    </w:r>
    <w:r w:rsidR="00B232C6">
      <w:rPr>
        <w:rStyle w:val="PageNumber"/>
      </w:rPr>
      <w:fldChar w:fldCharType="separate"/>
    </w:r>
    <w:r>
      <w:rPr>
        <w:rStyle w:val="PageNumber"/>
        <w:noProof/>
      </w:rPr>
      <w:t>3</w:t>
    </w:r>
    <w:r w:rsidR="00B232C6">
      <w:rPr>
        <w:rStyle w:val="PageNumber"/>
      </w:rPr>
      <w:fldChar w:fldCharType="end"/>
    </w:r>
    <w:r w:rsidR="00B232C6">
      <w:rPr>
        <w:rStyle w:val="PageNumber"/>
      </w:rPr>
      <w:t xml:space="preserve"> of </w:t>
    </w:r>
    <w:r w:rsidR="00B232C6">
      <w:rPr>
        <w:rStyle w:val="PageNumber"/>
      </w:rPr>
      <w:fldChar w:fldCharType="begin"/>
    </w:r>
    <w:r w:rsidR="00B232C6">
      <w:rPr>
        <w:rStyle w:val="PageNumber"/>
      </w:rPr>
      <w:instrText xml:space="preserve"> NUMPAGES </w:instrText>
    </w:r>
    <w:r w:rsidR="00B232C6">
      <w:rPr>
        <w:rStyle w:val="PageNumber"/>
      </w:rPr>
      <w:fldChar w:fldCharType="separate"/>
    </w:r>
    <w:r>
      <w:rPr>
        <w:rStyle w:val="PageNumber"/>
        <w:noProof/>
      </w:rPr>
      <w:t>9</w:t>
    </w:r>
    <w:r w:rsidR="00B232C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C6" w:rsidRDefault="00B232C6">
      <w:r>
        <w:separator/>
      </w:r>
    </w:p>
  </w:footnote>
  <w:footnote w:type="continuationSeparator" w:id="0">
    <w:p w:rsidR="00B232C6" w:rsidRDefault="00B2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000000"/>
    <w:lvl w:ilvl="0">
      <w:numFmt w:val="decimal"/>
      <w:pStyle w:val="Bullets"/>
      <w:lvlText w:val="*"/>
      <w:lvlJc w:val="left"/>
    </w:lvl>
  </w:abstractNum>
  <w:abstractNum w:abstractNumId="1" w15:restartNumberingAfterBreak="0">
    <w:nsid w:val="00000008"/>
    <w:multiLevelType w:val="singleLevel"/>
    <w:tmpl w:val="00000000"/>
    <w:lvl w:ilvl="0">
      <w:start w:val="1"/>
      <w:numFmt w:val="bullet"/>
      <w:pStyle w:val="Subbullets"/>
      <w:lvlText w:val=""/>
      <w:lvlJc w:val="left"/>
      <w:pPr>
        <w:tabs>
          <w:tab w:val="num" w:pos="2877"/>
        </w:tabs>
        <w:ind w:left="2875" w:hanging="358"/>
      </w:pPr>
      <w:rPr>
        <w:rFonts w:ascii="Symbol" w:hAnsi="Symbol" w:hint="default"/>
      </w:rPr>
    </w:lvl>
  </w:abstractNum>
  <w:abstractNum w:abstractNumId="2" w15:restartNumberingAfterBreak="0">
    <w:nsid w:val="0000000B"/>
    <w:multiLevelType w:val="singleLevel"/>
    <w:tmpl w:val="4AFAA638"/>
    <w:lvl w:ilvl="0">
      <w:start w:val="1"/>
      <w:numFmt w:val="decimal"/>
      <w:lvlText w:val="%1."/>
      <w:lvlJc w:val="left"/>
      <w:pPr>
        <w:tabs>
          <w:tab w:val="num" w:pos="360"/>
        </w:tabs>
        <w:ind w:left="360" w:hanging="360"/>
      </w:pPr>
      <w:rPr>
        <w:rFonts w:hint="default"/>
        <w:b w:val="0"/>
        <w:i w:val="0"/>
        <w:sz w:val="22"/>
        <w:szCs w:val="22"/>
      </w:rPr>
    </w:lvl>
  </w:abstractNum>
  <w:abstractNum w:abstractNumId="3" w15:restartNumberingAfterBreak="0">
    <w:nsid w:val="1CD24B19"/>
    <w:multiLevelType w:val="hybridMultilevel"/>
    <w:tmpl w:val="BE02D21C"/>
    <w:lvl w:ilvl="0" w:tplc="04090001">
      <w:start w:val="1"/>
      <w:numFmt w:val="bullet"/>
      <w:lvlText w:val=""/>
      <w:lvlJc w:val="left"/>
      <w:pPr>
        <w:tabs>
          <w:tab w:val="num" w:pos="3014"/>
        </w:tabs>
        <w:ind w:left="3014" w:hanging="360"/>
      </w:pPr>
      <w:rPr>
        <w:rFonts w:ascii="Symbol" w:hAnsi="Symbol" w:hint="default"/>
      </w:rPr>
    </w:lvl>
    <w:lvl w:ilvl="1" w:tplc="08090001">
      <w:start w:val="1"/>
      <w:numFmt w:val="bullet"/>
      <w:lvlText w:val=""/>
      <w:lvlJc w:val="left"/>
      <w:pPr>
        <w:tabs>
          <w:tab w:val="num" w:pos="3734"/>
        </w:tabs>
        <w:ind w:left="3734" w:hanging="360"/>
      </w:pPr>
      <w:rPr>
        <w:rFonts w:ascii="Symbol" w:hAnsi="Symbol" w:hint="default"/>
      </w:rPr>
    </w:lvl>
    <w:lvl w:ilvl="2" w:tplc="04090005" w:tentative="1">
      <w:start w:val="1"/>
      <w:numFmt w:val="bullet"/>
      <w:lvlText w:val=""/>
      <w:lvlJc w:val="left"/>
      <w:pPr>
        <w:tabs>
          <w:tab w:val="num" w:pos="4454"/>
        </w:tabs>
        <w:ind w:left="4454" w:hanging="360"/>
      </w:pPr>
      <w:rPr>
        <w:rFonts w:ascii="Wingdings" w:hAnsi="Wingdings" w:hint="default"/>
      </w:rPr>
    </w:lvl>
    <w:lvl w:ilvl="3" w:tplc="04090001" w:tentative="1">
      <w:start w:val="1"/>
      <w:numFmt w:val="bullet"/>
      <w:lvlText w:val=""/>
      <w:lvlJc w:val="left"/>
      <w:pPr>
        <w:tabs>
          <w:tab w:val="num" w:pos="5174"/>
        </w:tabs>
        <w:ind w:left="5174" w:hanging="360"/>
      </w:pPr>
      <w:rPr>
        <w:rFonts w:ascii="Symbol" w:hAnsi="Symbol" w:hint="default"/>
      </w:rPr>
    </w:lvl>
    <w:lvl w:ilvl="4" w:tplc="04090003" w:tentative="1">
      <w:start w:val="1"/>
      <w:numFmt w:val="bullet"/>
      <w:lvlText w:val="o"/>
      <w:lvlJc w:val="left"/>
      <w:pPr>
        <w:tabs>
          <w:tab w:val="num" w:pos="5894"/>
        </w:tabs>
        <w:ind w:left="5894" w:hanging="360"/>
      </w:pPr>
      <w:rPr>
        <w:rFonts w:ascii="Courier New" w:hAnsi="Courier New" w:cs="Courier New" w:hint="default"/>
      </w:rPr>
    </w:lvl>
    <w:lvl w:ilvl="5" w:tplc="04090005" w:tentative="1">
      <w:start w:val="1"/>
      <w:numFmt w:val="bullet"/>
      <w:lvlText w:val=""/>
      <w:lvlJc w:val="left"/>
      <w:pPr>
        <w:tabs>
          <w:tab w:val="num" w:pos="6614"/>
        </w:tabs>
        <w:ind w:left="6614" w:hanging="360"/>
      </w:pPr>
      <w:rPr>
        <w:rFonts w:ascii="Wingdings" w:hAnsi="Wingdings" w:hint="default"/>
      </w:rPr>
    </w:lvl>
    <w:lvl w:ilvl="6" w:tplc="04090001" w:tentative="1">
      <w:start w:val="1"/>
      <w:numFmt w:val="bullet"/>
      <w:lvlText w:val=""/>
      <w:lvlJc w:val="left"/>
      <w:pPr>
        <w:tabs>
          <w:tab w:val="num" w:pos="7334"/>
        </w:tabs>
        <w:ind w:left="7334" w:hanging="360"/>
      </w:pPr>
      <w:rPr>
        <w:rFonts w:ascii="Symbol" w:hAnsi="Symbol" w:hint="default"/>
      </w:rPr>
    </w:lvl>
    <w:lvl w:ilvl="7" w:tplc="04090003" w:tentative="1">
      <w:start w:val="1"/>
      <w:numFmt w:val="bullet"/>
      <w:lvlText w:val="o"/>
      <w:lvlJc w:val="left"/>
      <w:pPr>
        <w:tabs>
          <w:tab w:val="num" w:pos="8054"/>
        </w:tabs>
        <w:ind w:left="8054" w:hanging="360"/>
      </w:pPr>
      <w:rPr>
        <w:rFonts w:ascii="Courier New" w:hAnsi="Courier New" w:cs="Courier New" w:hint="default"/>
      </w:rPr>
    </w:lvl>
    <w:lvl w:ilvl="8" w:tplc="04090005" w:tentative="1">
      <w:start w:val="1"/>
      <w:numFmt w:val="bullet"/>
      <w:lvlText w:val=""/>
      <w:lvlJc w:val="left"/>
      <w:pPr>
        <w:tabs>
          <w:tab w:val="num" w:pos="8774"/>
        </w:tabs>
        <w:ind w:left="8774" w:hanging="360"/>
      </w:pPr>
      <w:rPr>
        <w:rFonts w:ascii="Wingdings" w:hAnsi="Wingdings" w:hint="default"/>
      </w:rPr>
    </w:lvl>
  </w:abstractNum>
  <w:abstractNum w:abstractNumId="4" w15:restartNumberingAfterBreak="0">
    <w:nsid w:val="1FF77EEE"/>
    <w:multiLevelType w:val="hybridMultilevel"/>
    <w:tmpl w:val="641CF5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7131EF"/>
    <w:multiLevelType w:val="hybridMultilevel"/>
    <w:tmpl w:val="304C5E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236406"/>
    <w:multiLevelType w:val="hybridMultilevel"/>
    <w:tmpl w:val="AEF0B040"/>
    <w:lvl w:ilvl="0" w:tplc="2C6A6E9C">
      <w:start w:val="1"/>
      <w:numFmt w:val="lowerLetter"/>
      <w:lvlText w:val="%1)"/>
      <w:lvlJc w:val="left"/>
      <w:pPr>
        <w:tabs>
          <w:tab w:val="num" w:pos="899"/>
        </w:tabs>
        <w:ind w:left="899" w:hanging="360"/>
      </w:pPr>
      <w:rPr>
        <w:rFonts w:hint="default"/>
      </w:rPr>
    </w:lvl>
    <w:lvl w:ilvl="1" w:tplc="08090019" w:tentative="1">
      <w:start w:val="1"/>
      <w:numFmt w:val="lowerLetter"/>
      <w:lvlText w:val="%2."/>
      <w:lvlJc w:val="left"/>
      <w:pPr>
        <w:tabs>
          <w:tab w:val="num" w:pos="1619"/>
        </w:tabs>
        <w:ind w:left="1619" w:hanging="360"/>
      </w:pPr>
    </w:lvl>
    <w:lvl w:ilvl="2" w:tplc="0809001B" w:tentative="1">
      <w:start w:val="1"/>
      <w:numFmt w:val="lowerRoman"/>
      <w:lvlText w:val="%3."/>
      <w:lvlJc w:val="right"/>
      <w:pPr>
        <w:tabs>
          <w:tab w:val="num" w:pos="2339"/>
        </w:tabs>
        <w:ind w:left="2339" w:hanging="180"/>
      </w:pPr>
    </w:lvl>
    <w:lvl w:ilvl="3" w:tplc="0809000F" w:tentative="1">
      <w:start w:val="1"/>
      <w:numFmt w:val="decimal"/>
      <w:lvlText w:val="%4."/>
      <w:lvlJc w:val="left"/>
      <w:pPr>
        <w:tabs>
          <w:tab w:val="num" w:pos="3059"/>
        </w:tabs>
        <w:ind w:left="3059" w:hanging="360"/>
      </w:pPr>
    </w:lvl>
    <w:lvl w:ilvl="4" w:tplc="08090019" w:tentative="1">
      <w:start w:val="1"/>
      <w:numFmt w:val="lowerLetter"/>
      <w:lvlText w:val="%5."/>
      <w:lvlJc w:val="left"/>
      <w:pPr>
        <w:tabs>
          <w:tab w:val="num" w:pos="3779"/>
        </w:tabs>
        <w:ind w:left="3779" w:hanging="360"/>
      </w:pPr>
    </w:lvl>
    <w:lvl w:ilvl="5" w:tplc="0809001B" w:tentative="1">
      <w:start w:val="1"/>
      <w:numFmt w:val="lowerRoman"/>
      <w:lvlText w:val="%6."/>
      <w:lvlJc w:val="right"/>
      <w:pPr>
        <w:tabs>
          <w:tab w:val="num" w:pos="4499"/>
        </w:tabs>
        <w:ind w:left="4499" w:hanging="180"/>
      </w:pPr>
    </w:lvl>
    <w:lvl w:ilvl="6" w:tplc="0809000F" w:tentative="1">
      <w:start w:val="1"/>
      <w:numFmt w:val="decimal"/>
      <w:lvlText w:val="%7."/>
      <w:lvlJc w:val="left"/>
      <w:pPr>
        <w:tabs>
          <w:tab w:val="num" w:pos="5219"/>
        </w:tabs>
        <w:ind w:left="5219" w:hanging="360"/>
      </w:pPr>
    </w:lvl>
    <w:lvl w:ilvl="7" w:tplc="08090019" w:tentative="1">
      <w:start w:val="1"/>
      <w:numFmt w:val="lowerLetter"/>
      <w:lvlText w:val="%8."/>
      <w:lvlJc w:val="left"/>
      <w:pPr>
        <w:tabs>
          <w:tab w:val="num" w:pos="5939"/>
        </w:tabs>
        <w:ind w:left="5939" w:hanging="360"/>
      </w:pPr>
    </w:lvl>
    <w:lvl w:ilvl="8" w:tplc="0809001B" w:tentative="1">
      <w:start w:val="1"/>
      <w:numFmt w:val="lowerRoman"/>
      <w:lvlText w:val="%9."/>
      <w:lvlJc w:val="right"/>
      <w:pPr>
        <w:tabs>
          <w:tab w:val="num" w:pos="6659"/>
        </w:tabs>
        <w:ind w:left="6659" w:hanging="180"/>
      </w:pPr>
    </w:lvl>
  </w:abstractNum>
  <w:abstractNum w:abstractNumId="7" w15:restartNumberingAfterBreak="0">
    <w:nsid w:val="26A8356A"/>
    <w:multiLevelType w:val="hybridMultilevel"/>
    <w:tmpl w:val="FEDCF910"/>
    <w:lvl w:ilvl="0" w:tplc="DC7ACD42">
      <w:start w:val="1"/>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34BE097D"/>
    <w:multiLevelType w:val="hybridMultilevel"/>
    <w:tmpl w:val="0FEE5BEE"/>
    <w:lvl w:ilvl="0" w:tplc="85AA52F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E592395"/>
    <w:multiLevelType w:val="hybridMultilevel"/>
    <w:tmpl w:val="62167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A29A9"/>
    <w:multiLevelType w:val="hybridMultilevel"/>
    <w:tmpl w:val="28A812B0"/>
    <w:lvl w:ilvl="0" w:tplc="FFFFFFFF">
      <w:start w:val="1"/>
      <w:numFmt w:val="bullet"/>
      <w:lvlText w:val=""/>
      <w:lvlJc w:val="left"/>
      <w:pPr>
        <w:tabs>
          <w:tab w:val="num" w:pos="2877"/>
        </w:tabs>
        <w:ind w:left="2877" w:hanging="360"/>
      </w:pPr>
      <w:rPr>
        <w:rFonts w:ascii="Symbol" w:hAnsi="Symbol" w:hint="default"/>
      </w:rPr>
    </w:lvl>
    <w:lvl w:ilvl="1" w:tplc="04090001">
      <w:start w:val="1"/>
      <w:numFmt w:val="bullet"/>
      <w:lvlText w:val=""/>
      <w:lvlJc w:val="left"/>
      <w:pPr>
        <w:tabs>
          <w:tab w:val="num" w:pos="2256"/>
        </w:tabs>
        <w:ind w:left="2256" w:hanging="360"/>
      </w:pPr>
      <w:rPr>
        <w:rFonts w:ascii="Symbol" w:hAnsi="Symbol" w:hint="default"/>
      </w:rPr>
    </w:lvl>
    <w:lvl w:ilvl="2" w:tplc="04090005">
      <w:start w:val="1"/>
      <w:numFmt w:val="bullet"/>
      <w:lvlText w:val=""/>
      <w:lvlJc w:val="left"/>
      <w:pPr>
        <w:tabs>
          <w:tab w:val="num" w:pos="2976"/>
        </w:tabs>
        <w:ind w:left="2976" w:hanging="360"/>
      </w:pPr>
      <w:rPr>
        <w:rFonts w:ascii="Wingdings" w:hAnsi="Wingdings" w:hint="default"/>
      </w:rPr>
    </w:lvl>
    <w:lvl w:ilvl="3" w:tplc="04090001">
      <w:start w:val="1"/>
      <w:numFmt w:val="bullet"/>
      <w:lvlText w:val=""/>
      <w:lvlJc w:val="left"/>
      <w:pPr>
        <w:tabs>
          <w:tab w:val="num" w:pos="3696"/>
        </w:tabs>
        <w:ind w:left="3696" w:hanging="360"/>
      </w:pPr>
      <w:rPr>
        <w:rFonts w:ascii="Symbol" w:hAnsi="Symbol" w:hint="default"/>
      </w:rPr>
    </w:lvl>
    <w:lvl w:ilvl="4" w:tplc="04090003" w:tentative="1">
      <w:start w:val="1"/>
      <w:numFmt w:val="bullet"/>
      <w:lvlText w:val="o"/>
      <w:lvlJc w:val="left"/>
      <w:pPr>
        <w:tabs>
          <w:tab w:val="num" w:pos="4416"/>
        </w:tabs>
        <w:ind w:left="4416" w:hanging="360"/>
      </w:pPr>
      <w:rPr>
        <w:rFonts w:ascii="Courier New" w:hAnsi="Courier New" w:cs="Courier New" w:hint="default"/>
      </w:rPr>
    </w:lvl>
    <w:lvl w:ilvl="5" w:tplc="04090005" w:tentative="1">
      <w:start w:val="1"/>
      <w:numFmt w:val="bullet"/>
      <w:lvlText w:val=""/>
      <w:lvlJc w:val="left"/>
      <w:pPr>
        <w:tabs>
          <w:tab w:val="num" w:pos="5136"/>
        </w:tabs>
        <w:ind w:left="5136" w:hanging="360"/>
      </w:pPr>
      <w:rPr>
        <w:rFonts w:ascii="Wingdings" w:hAnsi="Wingdings" w:hint="default"/>
      </w:rPr>
    </w:lvl>
    <w:lvl w:ilvl="6" w:tplc="04090001" w:tentative="1">
      <w:start w:val="1"/>
      <w:numFmt w:val="bullet"/>
      <w:lvlText w:val=""/>
      <w:lvlJc w:val="left"/>
      <w:pPr>
        <w:tabs>
          <w:tab w:val="num" w:pos="5856"/>
        </w:tabs>
        <w:ind w:left="5856" w:hanging="360"/>
      </w:pPr>
      <w:rPr>
        <w:rFonts w:ascii="Symbol" w:hAnsi="Symbol" w:hint="default"/>
      </w:rPr>
    </w:lvl>
    <w:lvl w:ilvl="7" w:tplc="04090003" w:tentative="1">
      <w:start w:val="1"/>
      <w:numFmt w:val="bullet"/>
      <w:lvlText w:val="o"/>
      <w:lvlJc w:val="left"/>
      <w:pPr>
        <w:tabs>
          <w:tab w:val="num" w:pos="6576"/>
        </w:tabs>
        <w:ind w:left="6576" w:hanging="360"/>
      </w:pPr>
      <w:rPr>
        <w:rFonts w:ascii="Courier New" w:hAnsi="Courier New" w:cs="Courier New" w:hint="default"/>
      </w:rPr>
    </w:lvl>
    <w:lvl w:ilvl="8" w:tplc="04090005" w:tentative="1">
      <w:start w:val="1"/>
      <w:numFmt w:val="bullet"/>
      <w:lvlText w:val=""/>
      <w:lvlJc w:val="left"/>
      <w:pPr>
        <w:tabs>
          <w:tab w:val="num" w:pos="7296"/>
        </w:tabs>
        <w:ind w:left="7296" w:hanging="360"/>
      </w:pPr>
      <w:rPr>
        <w:rFonts w:ascii="Wingdings" w:hAnsi="Wingdings" w:hint="default"/>
      </w:rPr>
    </w:lvl>
  </w:abstractNum>
  <w:abstractNum w:abstractNumId="11" w15:restartNumberingAfterBreak="0">
    <w:nsid w:val="5D2E00EF"/>
    <w:multiLevelType w:val="hybridMultilevel"/>
    <w:tmpl w:val="EEBA0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B769D"/>
    <w:multiLevelType w:val="hybridMultilevel"/>
    <w:tmpl w:val="8C564086"/>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71B4BA2"/>
    <w:multiLevelType w:val="hybridMultilevel"/>
    <w:tmpl w:val="AFF82DB2"/>
    <w:lvl w:ilvl="0" w:tplc="DA243A02">
      <w:start w:val="1"/>
      <w:numFmt w:val="lowerLetter"/>
      <w:lvlText w:val="%1."/>
      <w:lvlJc w:val="left"/>
      <w:pPr>
        <w:tabs>
          <w:tab w:val="num" w:pos="1259"/>
        </w:tabs>
        <w:ind w:left="1259" w:hanging="720"/>
      </w:pPr>
      <w:rPr>
        <w:rFonts w:hint="default"/>
      </w:rPr>
    </w:lvl>
    <w:lvl w:ilvl="1" w:tplc="08090019" w:tentative="1">
      <w:start w:val="1"/>
      <w:numFmt w:val="lowerLetter"/>
      <w:lvlText w:val="%2."/>
      <w:lvlJc w:val="left"/>
      <w:pPr>
        <w:tabs>
          <w:tab w:val="num" w:pos="1619"/>
        </w:tabs>
        <w:ind w:left="1619" w:hanging="360"/>
      </w:pPr>
    </w:lvl>
    <w:lvl w:ilvl="2" w:tplc="0809001B" w:tentative="1">
      <w:start w:val="1"/>
      <w:numFmt w:val="lowerRoman"/>
      <w:lvlText w:val="%3."/>
      <w:lvlJc w:val="right"/>
      <w:pPr>
        <w:tabs>
          <w:tab w:val="num" w:pos="2339"/>
        </w:tabs>
        <w:ind w:left="2339" w:hanging="180"/>
      </w:pPr>
    </w:lvl>
    <w:lvl w:ilvl="3" w:tplc="0809000F" w:tentative="1">
      <w:start w:val="1"/>
      <w:numFmt w:val="decimal"/>
      <w:lvlText w:val="%4."/>
      <w:lvlJc w:val="left"/>
      <w:pPr>
        <w:tabs>
          <w:tab w:val="num" w:pos="3059"/>
        </w:tabs>
        <w:ind w:left="3059" w:hanging="360"/>
      </w:pPr>
    </w:lvl>
    <w:lvl w:ilvl="4" w:tplc="08090019" w:tentative="1">
      <w:start w:val="1"/>
      <w:numFmt w:val="lowerLetter"/>
      <w:lvlText w:val="%5."/>
      <w:lvlJc w:val="left"/>
      <w:pPr>
        <w:tabs>
          <w:tab w:val="num" w:pos="3779"/>
        </w:tabs>
        <w:ind w:left="3779" w:hanging="360"/>
      </w:pPr>
    </w:lvl>
    <w:lvl w:ilvl="5" w:tplc="0809001B" w:tentative="1">
      <w:start w:val="1"/>
      <w:numFmt w:val="lowerRoman"/>
      <w:lvlText w:val="%6."/>
      <w:lvlJc w:val="right"/>
      <w:pPr>
        <w:tabs>
          <w:tab w:val="num" w:pos="4499"/>
        </w:tabs>
        <w:ind w:left="4499" w:hanging="180"/>
      </w:pPr>
    </w:lvl>
    <w:lvl w:ilvl="6" w:tplc="0809000F" w:tentative="1">
      <w:start w:val="1"/>
      <w:numFmt w:val="decimal"/>
      <w:lvlText w:val="%7."/>
      <w:lvlJc w:val="left"/>
      <w:pPr>
        <w:tabs>
          <w:tab w:val="num" w:pos="5219"/>
        </w:tabs>
        <w:ind w:left="5219" w:hanging="360"/>
      </w:pPr>
    </w:lvl>
    <w:lvl w:ilvl="7" w:tplc="08090019" w:tentative="1">
      <w:start w:val="1"/>
      <w:numFmt w:val="lowerLetter"/>
      <w:lvlText w:val="%8."/>
      <w:lvlJc w:val="left"/>
      <w:pPr>
        <w:tabs>
          <w:tab w:val="num" w:pos="5939"/>
        </w:tabs>
        <w:ind w:left="5939" w:hanging="360"/>
      </w:pPr>
    </w:lvl>
    <w:lvl w:ilvl="8" w:tplc="0809001B" w:tentative="1">
      <w:start w:val="1"/>
      <w:numFmt w:val="lowerRoman"/>
      <w:lvlText w:val="%9."/>
      <w:lvlJc w:val="right"/>
      <w:pPr>
        <w:tabs>
          <w:tab w:val="num" w:pos="6659"/>
        </w:tabs>
        <w:ind w:left="6659" w:hanging="180"/>
      </w:pPr>
    </w:lvl>
  </w:abstractNum>
  <w:abstractNum w:abstractNumId="14" w15:restartNumberingAfterBreak="0">
    <w:nsid w:val="6B3E6AFF"/>
    <w:multiLevelType w:val="hybridMultilevel"/>
    <w:tmpl w:val="395044A8"/>
    <w:lvl w:ilvl="0" w:tplc="69AEC092">
      <w:start w:val="1"/>
      <w:numFmt w:val="lowerLetter"/>
      <w:lvlText w:val="%1."/>
      <w:lvlJc w:val="left"/>
      <w:pPr>
        <w:ind w:left="900" w:hanging="36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lvlOverride w:ilvl="0">
      <w:lvl w:ilvl="0">
        <w:start w:val="1"/>
        <w:numFmt w:val="bullet"/>
        <w:pStyle w:val="Bullets"/>
        <w:lvlText w:val=""/>
        <w:legacy w:legacy="1" w:legacySpace="0" w:legacyIndent="360"/>
        <w:lvlJc w:val="left"/>
        <w:pPr>
          <w:ind w:left="2877" w:hanging="360"/>
        </w:pPr>
        <w:rPr>
          <w:rFonts w:ascii="Helvetica" w:hAnsi="Helvetica" w:hint="default"/>
          <w:sz w:val="20"/>
        </w:rPr>
      </w:lvl>
    </w:lvlOverride>
  </w:num>
  <w:num w:numId="2">
    <w:abstractNumId w:val="1"/>
  </w:num>
  <w:num w:numId="3">
    <w:abstractNumId w:val="2"/>
  </w:num>
  <w:num w:numId="4">
    <w:abstractNumId w:val="10"/>
  </w:num>
  <w:num w:numId="5">
    <w:abstractNumId w:val="3"/>
  </w:num>
  <w:num w:numId="6">
    <w:abstractNumId w:val="5"/>
  </w:num>
  <w:num w:numId="7">
    <w:abstractNumId w:val="11"/>
  </w:num>
  <w:num w:numId="8">
    <w:abstractNumId w:val="12"/>
  </w:num>
  <w:num w:numId="9">
    <w:abstractNumId w:val="7"/>
  </w:num>
  <w:num w:numId="10">
    <w:abstractNumId w:val="13"/>
  </w:num>
  <w:num w:numId="11">
    <w:abstractNumId w:val="6"/>
  </w:num>
  <w:num w:numId="12">
    <w:abstractNumId w:val="4"/>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D4"/>
    <w:rsid w:val="00021C76"/>
    <w:rsid w:val="00054731"/>
    <w:rsid w:val="0007019B"/>
    <w:rsid w:val="00072759"/>
    <w:rsid w:val="000946CF"/>
    <w:rsid w:val="000A242E"/>
    <w:rsid w:val="000B675A"/>
    <w:rsid w:val="000D30D4"/>
    <w:rsid w:val="000F632B"/>
    <w:rsid w:val="001076E6"/>
    <w:rsid w:val="00132740"/>
    <w:rsid w:val="00162155"/>
    <w:rsid w:val="00185E94"/>
    <w:rsid w:val="001A6314"/>
    <w:rsid w:val="001A659A"/>
    <w:rsid w:val="001E3A0E"/>
    <w:rsid w:val="0029418C"/>
    <w:rsid w:val="002A1222"/>
    <w:rsid w:val="002A6629"/>
    <w:rsid w:val="002B73A7"/>
    <w:rsid w:val="002C4543"/>
    <w:rsid w:val="002D4BF6"/>
    <w:rsid w:val="00325FA5"/>
    <w:rsid w:val="00337A3D"/>
    <w:rsid w:val="00341FE5"/>
    <w:rsid w:val="00342BAE"/>
    <w:rsid w:val="00364393"/>
    <w:rsid w:val="0036782F"/>
    <w:rsid w:val="003829AA"/>
    <w:rsid w:val="003D53ED"/>
    <w:rsid w:val="003F6796"/>
    <w:rsid w:val="00414FF5"/>
    <w:rsid w:val="004501A4"/>
    <w:rsid w:val="00454D74"/>
    <w:rsid w:val="004C24EF"/>
    <w:rsid w:val="004C2A4D"/>
    <w:rsid w:val="00506E77"/>
    <w:rsid w:val="005339A8"/>
    <w:rsid w:val="005434BC"/>
    <w:rsid w:val="00556BEB"/>
    <w:rsid w:val="00587AF5"/>
    <w:rsid w:val="005A3420"/>
    <w:rsid w:val="005C4C66"/>
    <w:rsid w:val="005F14ED"/>
    <w:rsid w:val="005F59CA"/>
    <w:rsid w:val="005F6B88"/>
    <w:rsid w:val="00621ADE"/>
    <w:rsid w:val="00626C0F"/>
    <w:rsid w:val="00642489"/>
    <w:rsid w:val="0065276B"/>
    <w:rsid w:val="006677EF"/>
    <w:rsid w:val="006C6A88"/>
    <w:rsid w:val="006C74D8"/>
    <w:rsid w:val="006D0FBB"/>
    <w:rsid w:val="006E5223"/>
    <w:rsid w:val="007304A2"/>
    <w:rsid w:val="00744A1A"/>
    <w:rsid w:val="00744B4F"/>
    <w:rsid w:val="007929B2"/>
    <w:rsid w:val="00794B7A"/>
    <w:rsid w:val="007B2EB6"/>
    <w:rsid w:val="007D1C93"/>
    <w:rsid w:val="007D4014"/>
    <w:rsid w:val="007E11AA"/>
    <w:rsid w:val="00810ED0"/>
    <w:rsid w:val="00835008"/>
    <w:rsid w:val="00844372"/>
    <w:rsid w:val="008672AB"/>
    <w:rsid w:val="008774D4"/>
    <w:rsid w:val="00877C23"/>
    <w:rsid w:val="008A20D4"/>
    <w:rsid w:val="008B34C3"/>
    <w:rsid w:val="008B35F4"/>
    <w:rsid w:val="008B718E"/>
    <w:rsid w:val="008C60BC"/>
    <w:rsid w:val="008D6EE0"/>
    <w:rsid w:val="008F08B1"/>
    <w:rsid w:val="0091672D"/>
    <w:rsid w:val="00916809"/>
    <w:rsid w:val="009249BD"/>
    <w:rsid w:val="0094658F"/>
    <w:rsid w:val="0094725B"/>
    <w:rsid w:val="00947373"/>
    <w:rsid w:val="00951805"/>
    <w:rsid w:val="00981E71"/>
    <w:rsid w:val="009F678D"/>
    <w:rsid w:val="00A03022"/>
    <w:rsid w:val="00A050EF"/>
    <w:rsid w:val="00A05B53"/>
    <w:rsid w:val="00A133D4"/>
    <w:rsid w:val="00A23DE8"/>
    <w:rsid w:val="00A3079C"/>
    <w:rsid w:val="00A4281A"/>
    <w:rsid w:val="00A513B8"/>
    <w:rsid w:val="00A9274C"/>
    <w:rsid w:val="00AD76FE"/>
    <w:rsid w:val="00B16AD0"/>
    <w:rsid w:val="00B16D01"/>
    <w:rsid w:val="00B232C6"/>
    <w:rsid w:val="00B60461"/>
    <w:rsid w:val="00B7302B"/>
    <w:rsid w:val="00B95A8A"/>
    <w:rsid w:val="00BA3455"/>
    <w:rsid w:val="00BB0954"/>
    <w:rsid w:val="00C03B67"/>
    <w:rsid w:val="00C042B9"/>
    <w:rsid w:val="00C3197E"/>
    <w:rsid w:val="00C3273E"/>
    <w:rsid w:val="00C84D27"/>
    <w:rsid w:val="00CD0F1E"/>
    <w:rsid w:val="00CF3F06"/>
    <w:rsid w:val="00D23CB6"/>
    <w:rsid w:val="00D2748A"/>
    <w:rsid w:val="00D776F2"/>
    <w:rsid w:val="00D838FE"/>
    <w:rsid w:val="00D96246"/>
    <w:rsid w:val="00E27526"/>
    <w:rsid w:val="00E432F3"/>
    <w:rsid w:val="00E5577D"/>
    <w:rsid w:val="00E77829"/>
    <w:rsid w:val="00E81ABC"/>
    <w:rsid w:val="00EA66F2"/>
    <w:rsid w:val="00EE041D"/>
    <w:rsid w:val="00EE6668"/>
    <w:rsid w:val="00F05E31"/>
    <w:rsid w:val="00F16F2B"/>
    <w:rsid w:val="00F275C3"/>
    <w:rsid w:val="00F57752"/>
    <w:rsid w:val="00F742B6"/>
    <w:rsid w:val="00F82686"/>
    <w:rsid w:val="00F85986"/>
    <w:rsid w:val="00F952AA"/>
    <w:rsid w:val="00FC02B5"/>
    <w:rsid w:val="00FE13AB"/>
    <w:rsid w:val="00FE22E8"/>
    <w:rsid w:val="00FE3B3B"/>
    <w:rsid w:val="00FE3D03"/>
    <w:rsid w:val="00FE5F92"/>
    <w:rsid w:val="00FF51F0"/>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7FEB66-0034-465F-B3BC-80FF4D2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D4"/>
    <w:pPr>
      <w:spacing w:line="280" w:lineRule="exact"/>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33D4"/>
    <w:pPr>
      <w:spacing w:after="120" w:line="240" w:lineRule="auto"/>
    </w:pPr>
    <w:rPr>
      <w:rFonts w:ascii="Courier" w:hAnsi="Courier"/>
      <w:lang w:eastAsia="en-GB"/>
    </w:rPr>
  </w:style>
  <w:style w:type="character" w:styleId="Hyperlink">
    <w:name w:val="Hyperlink"/>
    <w:rsid w:val="002B73A7"/>
    <w:rPr>
      <w:color w:val="0000FF"/>
      <w:u w:val="single"/>
    </w:rPr>
  </w:style>
  <w:style w:type="paragraph" w:styleId="Footer">
    <w:name w:val="footer"/>
    <w:basedOn w:val="Normal"/>
    <w:next w:val="Normal"/>
    <w:rsid w:val="002B73A7"/>
    <w:pPr>
      <w:tabs>
        <w:tab w:val="center" w:pos="4320"/>
        <w:tab w:val="right" w:pos="8640"/>
      </w:tabs>
    </w:pPr>
    <w:rPr>
      <w:i/>
      <w:sz w:val="16"/>
    </w:rPr>
  </w:style>
  <w:style w:type="paragraph" w:customStyle="1" w:styleId="Bodycopy">
    <w:name w:val="Body copy"/>
    <w:basedOn w:val="Normal"/>
    <w:rsid w:val="002B73A7"/>
    <w:pPr>
      <w:spacing w:before="180"/>
      <w:ind w:left="2272"/>
    </w:pPr>
  </w:style>
  <w:style w:type="paragraph" w:customStyle="1" w:styleId="Subhead1">
    <w:name w:val="Sub head 1"/>
    <w:basedOn w:val="Bodycopy"/>
    <w:next w:val="Bodycopy"/>
    <w:rsid w:val="00FE5F92"/>
    <w:pPr>
      <w:tabs>
        <w:tab w:val="right" w:leader="dot" w:pos="9000"/>
      </w:tabs>
      <w:spacing w:before="480"/>
      <w:ind w:left="0"/>
    </w:pPr>
    <w:rPr>
      <w:b/>
      <w:caps/>
      <w:sz w:val="22"/>
    </w:rPr>
  </w:style>
  <w:style w:type="paragraph" w:customStyle="1" w:styleId="Bullets">
    <w:name w:val="Bullets"/>
    <w:basedOn w:val="Bodycopy"/>
    <w:rsid w:val="00FE5F92"/>
    <w:pPr>
      <w:numPr>
        <w:numId w:val="1"/>
      </w:numPr>
      <w:spacing w:before="90"/>
      <w:ind w:left="2874" w:hanging="357"/>
    </w:pPr>
  </w:style>
  <w:style w:type="paragraph" w:customStyle="1" w:styleId="Subhead2">
    <w:name w:val="Sub head 2"/>
    <w:basedOn w:val="Subhead1"/>
    <w:next w:val="Bodycopy"/>
    <w:rsid w:val="00FE5F92"/>
    <w:pPr>
      <w:spacing w:before="360"/>
      <w:ind w:left="2272"/>
    </w:pPr>
    <w:rPr>
      <w:i/>
      <w:caps w:val="0"/>
      <w:smallCaps/>
      <w:sz w:val="20"/>
    </w:rPr>
  </w:style>
  <w:style w:type="paragraph" w:customStyle="1" w:styleId="Subbullets">
    <w:name w:val="Sub bullets"/>
    <w:basedOn w:val="Bodycopy"/>
    <w:rsid w:val="00FE5F92"/>
    <w:pPr>
      <w:numPr>
        <w:numId w:val="2"/>
      </w:numPr>
      <w:tabs>
        <w:tab w:val="clear" w:pos="2877"/>
      </w:tabs>
      <w:spacing w:before="30"/>
      <w:ind w:left="3260" w:right="284" w:hanging="357"/>
    </w:pPr>
  </w:style>
  <w:style w:type="paragraph" w:customStyle="1" w:styleId="Numberedparagraph">
    <w:name w:val="Numbered paragraph"/>
    <w:basedOn w:val="Normal"/>
    <w:rsid w:val="00FE5F92"/>
    <w:pPr>
      <w:spacing w:before="180"/>
    </w:pPr>
  </w:style>
  <w:style w:type="character" w:styleId="FootnoteReference">
    <w:name w:val="footnote reference"/>
    <w:semiHidden/>
    <w:rsid w:val="00FE5F92"/>
    <w:rPr>
      <w:vertAlign w:val="superscript"/>
    </w:rPr>
  </w:style>
  <w:style w:type="paragraph" w:styleId="Header">
    <w:name w:val="header"/>
    <w:basedOn w:val="Normal"/>
    <w:rsid w:val="008B34C3"/>
    <w:pPr>
      <w:tabs>
        <w:tab w:val="center" w:pos="4153"/>
        <w:tab w:val="right" w:pos="8306"/>
      </w:tabs>
    </w:pPr>
  </w:style>
  <w:style w:type="character" w:styleId="PageNumber">
    <w:name w:val="page number"/>
    <w:basedOn w:val="DefaultParagraphFont"/>
    <w:rsid w:val="008B34C3"/>
  </w:style>
  <w:style w:type="paragraph" w:styleId="BalloonText">
    <w:name w:val="Balloon Text"/>
    <w:basedOn w:val="Normal"/>
    <w:semiHidden/>
    <w:rsid w:val="00C84D27"/>
    <w:rPr>
      <w:rFonts w:ascii="Tahoma" w:hAnsi="Tahoma" w:cs="Tahoma"/>
      <w:sz w:val="16"/>
      <w:szCs w:val="16"/>
    </w:rPr>
  </w:style>
  <w:style w:type="character" w:styleId="CommentReference">
    <w:name w:val="annotation reference"/>
    <w:basedOn w:val="DefaultParagraphFont"/>
    <w:rsid w:val="00C03B67"/>
    <w:rPr>
      <w:sz w:val="16"/>
      <w:szCs w:val="16"/>
    </w:rPr>
  </w:style>
  <w:style w:type="paragraph" w:styleId="CommentText">
    <w:name w:val="annotation text"/>
    <w:basedOn w:val="Normal"/>
    <w:link w:val="CommentTextChar"/>
    <w:rsid w:val="00C03B67"/>
    <w:pPr>
      <w:spacing w:line="240" w:lineRule="auto"/>
    </w:pPr>
  </w:style>
  <w:style w:type="character" w:customStyle="1" w:styleId="CommentTextChar">
    <w:name w:val="Comment Text Char"/>
    <w:basedOn w:val="DefaultParagraphFont"/>
    <w:link w:val="CommentText"/>
    <w:rsid w:val="00C03B67"/>
    <w:rPr>
      <w:rFonts w:ascii="Arial" w:hAnsi="Arial"/>
      <w:lang w:eastAsia="en-US"/>
    </w:rPr>
  </w:style>
  <w:style w:type="paragraph" w:styleId="CommentSubject">
    <w:name w:val="annotation subject"/>
    <w:basedOn w:val="CommentText"/>
    <w:next w:val="CommentText"/>
    <w:link w:val="CommentSubjectChar"/>
    <w:rsid w:val="00C03B67"/>
    <w:rPr>
      <w:b/>
      <w:bCs/>
    </w:rPr>
  </w:style>
  <w:style w:type="character" w:customStyle="1" w:styleId="CommentSubjectChar">
    <w:name w:val="Comment Subject Char"/>
    <w:basedOn w:val="CommentTextChar"/>
    <w:link w:val="CommentSubject"/>
    <w:rsid w:val="00C03B67"/>
    <w:rPr>
      <w:rFonts w:ascii="Arial" w:hAnsi="Arial"/>
      <w:b/>
      <w:bCs/>
      <w:lang w:eastAsia="en-US"/>
    </w:rPr>
  </w:style>
  <w:style w:type="paragraph" w:styleId="FootnoteText">
    <w:name w:val="footnote text"/>
    <w:basedOn w:val="Normal"/>
    <w:link w:val="FootnoteTextChar"/>
    <w:rsid w:val="00E27526"/>
    <w:pPr>
      <w:spacing w:line="240" w:lineRule="auto"/>
    </w:pPr>
  </w:style>
  <w:style w:type="character" w:customStyle="1" w:styleId="FootnoteTextChar">
    <w:name w:val="Footnote Text Char"/>
    <w:basedOn w:val="DefaultParagraphFont"/>
    <w:link w:val="FootnoteText"/>
    <w:rsid w:val="00E27526"/>
    <w:rPr>
      <w:rFonts w:ascii="Arial" w:hAnsi="Arial"/>
      <w:lang w:eastAsia="en-US"/>
    </w:rPr>
  </w:style>
  <w:style w:type="paragraph" w:styleId="Revision">
    <w:name w:val="Revision"/>
    <w:hidden/>
    <w:uiPriority w:val="99"/>
    <w:semiHidden/>
    <w:rsid w:val="004501A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7EC7-E7FB-4909-A39C-BE17286A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2435</Words>
  <Characters>13881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JOINT INSOLVENCY EXAMINATION</vt:lpstr>
    </vt:vector>
  </TitlesOfParts>
  <Company>ICAEW</Company>
  <LinksUpToDate>false</LinksUpToDate>
  <CharactersWithSpaces>16284</CharactersWithSpaces>
  <SharedDoc>false</SharedDoc>
  <HLinks>
    <vt:vector size="6" baseType="variant">
      <vt:variant>
        <vt:i4>1638462</vt:i4>
      </vt:variant>
      <vt:variant>
        <vt:i4>0</vt:i4>
      </vt:variant>
      <vt:variant>
        <vt:i4>0</vt:i4>
      </vt:variant>
      <vt:variant>
        <vt:i4>5</vt:i4>
      </vt:variant>
      <vt:variant>
        <vt:lpwstr>mailto:jiebsc@icaew.com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INSOLVENCY EXAMINATION</dc:title>
  <dc:creator>Ruth Harrison</dc:creator>
  <cp:lastModifiedBy>Stella Leslie</cp:lastModifiedBy>
  <cp:revision>2</cp:revision>
  <cp:lastPrinted>2017-08-17T11:12:00Z</cp:lastPrinted>
  <dcterms:created xsi:type="dcterms:W3CDTF">2018-06-28T08:57:00Z</dcterms:created>
  <dcterms:modified xsi:type="dcterms:W3CDTF">2018-06-28T08:57:00Z</dcterms:modified>
</cp:coreProperties>
</file>